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media/image1.jpeg" ContentType="image/jpeg"/>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17.odttf" ContentType="application/vnd.openxmlformats-officedocument.obfuscatedFont"/>
  <Override PartName="/word/fonts/font18.odttf" ContentType="application/vnd.openxmlformats-officedocument.obfuscatedFont"/>
  <Override PartName="/word/fonts/font19.odttf" ContentType="application/vnd.openxmlformats-officedocument.obfuscatedFont"/>
  <Override PartName="/word/fonts/font20.odttf" ContentType="application/vnd.openxmlformats-officedocument.obfuscatedFont"/>
  <Override PartName="/word/fonts/font21.odttf" ContentType="application/vnd.openxmlformats-officedocument.obfuscatedFont"/>
  <Override PartName="/word/fonts/font22.odttf" ContentType="application/vnd.openxmlformats-officedocument.obfuscatedFont"/>
  <Override PartName="/word/fonts/font23.odttf" ContentType="application/vnd.openxmlformats-officedocument.obfuscatedFont"/>
  <Override PartName="/word/fonts/font24.odttf" ContentType="application/vnd.openxmlformats-officedocument.obfuscatedFont"/>
  <Override PartName="/word/fonts/font25.odttf" ContentType="application/vnd.openxmlformats-officedocument.obfuscatedFont"/>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word/_rels/header3.xml.rels" ContentType="application/vnd.openxmlformats-package.relationships+xml"/>
  <Override PartName="/word/_rels/footer3.xml.rels" ContentType="application/vnd.openxmlformats-package.relationships+xml"/>
  <Override PartName="/word/_rels/header2.xml.rels" ContentType="application/vnd.openxmlformats-package.relationships+xml"/>
  <Override PartName="/word/_rels/footer2.xml.rels" ContentType="application/vnd.openxmlformats-package.relationships+xml"/>
  <Override PartName="/word/_rels/fontTable.xml.rels" ContentType="application/vnd.openxmlformats-package.relationships+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ackground w:color="FFFFFF"/>
  <w:body>
    <w:p>
      <w:pPr>
        <w:pStyle w:val="Normal"/>
        <w:tabs>
          <w:tab w:val="clear" w:pos="720"/>
          <w:tab w:val="left" w:pos="3390" w:leader="none"/>
          <w:tab w:val="center" w:pos="5032" w:leader="none"/>
        </w:tabs>
        <w:spacing w:lineRule="auto" w:line="240"/>
        <w:rPr>
          <w:rFonts w:ascii="Verdana" w:hAnsi="Verdana"/>
          <w:b/>
          <w:sz w:val="20"/>
          <w:szCs w:val="20"/>
          <w:u w:val="single"/>
        </w:rPr>
      </w:pPr>
      <w:r>
        <w:rPr>
          <w:rFonts w:ascii="Verdana" w:hAnsi="Verdana"/>
          <w:b/>
          <w:sz w:val="20"/>
          <w:szCs w:val="20"/>
          <w:u w:val="single"/>
        </w:rPr>
      </w:r>
    </w:p>
    <w:p>
      <w:pPr>
        <w:pStyle w:val="Normal"/>
        <w:tabs>
          <w:tab w:val="clear" w:pos="720"/>
          <w:tab w:val="left" w:pos="3390" w:leader="none"/>
          <w:tab w:val="center" w:pos="5032" w:leader="none"/>
        </w:tabs>
        <w:spacing w:lineRule="auto" w:line="240"/>
        <w:jc w:val="center"/>
        <w:rPr/>
      </w:pPr>
      <w:r>
        <w:rPr>
          <w:rFonts w:ascii="Verdana" w:hAnsi="Verdana"/>
          <w:b/>
          <w:sz w:val="20"/>
          <w:szCs w:val="20"/>
          <w:u w:val="single"/>
        </w:rPr>
        <w:t>ESTUDO TÉCNICO PRELIMINAR</w:t>
      </w:r>
    </w:p>
    <w:p>
      <w:pPr>
        <w:pStyle w:val="Normal"/>
        <w:tabs>
          <w:tab w:val="clear" w:pos="720"/>
          <w:tab w:val="left" w:pos="3390" w:leader="none"/>
          <w:tab w:val="center" w:pos="5032" w:leader="none"/>
        </w:tabs>
        <w:spacing w:lineRule="auto" w:line="240"/>
        <w:jc w:val="center"/>
        <w:rPr>
          <w:rFonts w:ascii="Verdana" w:hAnsi="Verdana"/>
          <w:b/>
          <w:sz w:val="20"/>
          <w:szCs w:val="20"/>
          <w:u w:val="single"/>
        </w:rPr>
      </w:pPr>
      <w:r>
        <w:rPr>
          <w:rFonts w:ascii="Verdana" w:hAnsi="Verdana"/>
          <w:b/>
          <w:sz w:val="20"/>
          <w:szCs w:val="20"/>
          <w:u w:val="single"/>
        </w:rPr>
      </w:r>
    </w:p>
    <w:p>
      <w:pPr>
        <w:pStyle w:val="Normal"/>
        <w:tabs>
          <w:tab w:val="clear" w:pos="720"/>
          <w:tab w:val="left" w:pos="3390" w:leader="none"/>
          <w:tab w:val="center" w:pos="5032" w:leader="none"/>
        </w:tabs>
        <w:spacing w:lineRule="auto" w:line="240"/>
        <w:rPr/>
      </w:pPr>
      <w:r>
        <w:rPr>
          <w:rFonts w:ascii="Verdana" w:hAnsi="Verdana"/>
          <w:b/>
          <w:sz w:val="20"/>
          <w:szCs w:val="20"/>
        </w:rPr>
        <w:t>1. INFORMAÇÕES BÁSICAS</w:t>
      </w:r>
    </w:p>
    <w:p>
      <w:pPr>
        <w:pStyle w:val="Normal"/>
        <w:tabs>
          <w:tab w:val="clear" w:pos="720"/>
          <w:tab w:val="left" w:pos="3390" w:leader="none"/>
          <w:tab w:val="center" w:pos="5032" w:leader="none"/>
        </w:tabs>
        <w:spacing w:lineRule="auto" w:line="240"/>
        <w:rPr/>
      </w:pPr>
      <w:r>
        <w:rPr>
          <w:rFonts w:ascii="Verdana" w:hAnsi="Verdana"/>
          <w:b/>
          <w:color w:val="000000"/>
          <w:sz w:val="20"/>
          <w:szCs w:val="20"/>
        </w:rPr>
        <w:t xml:space="preserve">1.1. </w:t>
      </w:r>
      <w:r>
        <w:rPr>
          <w:rFonts w:ascii="Verdana" w:hAnsi="Verdana"/>
          <w:bCs/>
          <w:color w:val="000000"/>
          <w:sz w:val="20"/>
          <w:szCs w:val="20"/>
        </w:rPr>
        <w:t xml:space="preserve">Processo Administrativo nº </w:t>
      </w:r>
      <w:r>
        <w:rPr>
          <w:rFonts w:ascii="Verdana" w:hAnsi="Verdana"/>
          <w:b/>
          <w:sz w:val="20"/>
          <w:szCs w:val="20"/>
        </w:rPr>
        <w:t>3784</w:t>
      </w:r>
      <w:r>
        <w:rPr>
          <w:rFonts w:ascii="Verdana" w:hAnsi="Verdana"/>
          <w:b/>
          <w:color w:val="000000"/>
          <w:sz w:val="20"/>
          <w:szCs w:val="20"/>
        </w:rPr>
        <w:t>/2026.</w:t>
      </w:r>
      <w:r>
        <w:rPr>
          <w:rFonts w:ascii="Verdana" w:hAnsi="Verdana"/>
          <w:bCs/>
          <w:color w:val="000000"/>
          <w:sz w:val="20"/>
          <w:szCs w:val="20"/>
        </w:rPr>
        <w:t xml:space="preserve"> </w:t>
      </w:r>
    </w:p>
    <w:p>
      <w:pPr>
        <w:pStyle w:val="Normal"/>
        <w:tabs>
          <w:tab w:val="clear" w:pos="720"/>
          <w:tab w:val="left" w:pos="3390" w:leader="none"/>
          <w:tab w:val="center" w:pos="5032" w:leader="none"/>
        </w:tabs>
        <w:spacing w:lineRule="auto" w:line="240"/>
        <w:jc w:val="center"/>
        <w:rPr/>
      </w:pPr>
      <w:r>
        <w:rPr>
          <w:rFonts w:ascii="Verdana" w:hAnsi="Verdana"/>
          <w:b/>
          <w:sz w:val="20"/>
          <w:szCs w:val="20"/>
        </w:rPr>
        <w:t>Aquisição de gêneros alimentícios para atender ao Programa de Alimentação Escolar devidamente relacionados e especificados, constantes na Solicitação de Compras nº 106/2026.</w:t>
      </w:r>
      <w:r>
        <w:rPr>
          <w:rFonts w:ascii="Verdana" w:hAnsi="Verdana"/>
          <w:b/>
          <w:color w:val="000000"/>
          <w:sz w:val="20"/>
          <w:szCs w:val="20"/>
        </w:rPr>
        <w:br/>
      </w:r>
    </w:p>
    <w:p>
      <w:pPr>
        <w:pStyle w:val="Normal"/>
        <w:tabs>
          <w:tab w:val="clear" w:pos="720"/>
          <w:tab w:val="left" w:pos="3390" w:leader="none"/>
          <w:tab w:val="center" w:pos="5032" w:leader="none"/>
        </w:tabs>
        <w:spacing w:lineRule="auto" w:line="240"/>
        <w:jc w:val="both"/>
        <w:rPr/>
      </w:pPr>
      <w:r>
        <w:rPr>
          <w:rFonts w:ascii="Verdana" w:hAnsi="Verdana"/>
          <w:color w:val="000000"/>
          <w:sz w:val="20"/>
          <w:szCs w:val="20"/>
        </w:rPr>
        <w:t>Este documento consiste em Estudos necessários para assegurar a viabilidade da contratação, mensurar os riscos, determinar uma estratégia de contratação e fornecer subsídios para a elaboração do Termo de Referência, bem como definir um plano de sustentação para a solução contratada.</w:t>
      </w:r>
    </w:p>
    <w:p>
      <w:pPr>
        <w:pStyle w:val="Normal"/>
        <w:tabs>
          <w:tab w:val="clear" w:pos="720"/>
          <w:tab w:val="left" w:pos="3390" w:leader="none"/>
          <w:tab w:val="center" w:pos="5032" w:leader="none"/>
        </w:tabs>
        <w:spacing w:lineRule="auto" w:line="240"/>
        <w:jc w:val="both"/>
        <w:rPr>
          <w:rFonts w:ascii="Verdana" w:hAnsi="Verdana"/>
          <w:sz w:val="20"/>
          <w:szCs w:val="20"/>
        </w:rPr>
      </w:pPr>
      <w:r>
        <w:rPr>
          <w:rFonts w:ascii="Verdana" w:hAnsi="Verdana"/>
          <w:sz w:val="20"/>
          <w:szCs w:val="20"/>
        </w:rPr>
      </w:r>
    </w:p>
    <w:p>
      <w:pPr>
        <w:pStyle w:val="Normal"/>
        <w:spacing w:lineRule="auto" w:line="240"/>
        <w:jc w:val="both"/>
        <w:rPr/>
      </w:pPr>
      <w:r>
        <w:rPr>
          <w:rFonts w:ascii="Verdana" w:hAnsi="Verdana"/>
          <w:b/>
          <w:sz w:val="20"/>
          <w:szCs w:val="20"/>
        </w:rPr>
        <w:t xml:space="preserve">2. LOCAL DE ENTREGA </w:t>
      </w:r>
    </w:p>
    <w:p>
      <w:pPr>
        <w:pStyle w:val="Normal"/>
        <w:spacing w:lineRule="auto" w:line="240"/>
        <w:ind w:left="108"/>
        <w:jc w:val="both"/>
        <w:rPr/>
      </w:pPr>
      <w:r>
        <w:rPr>
          <w:rFonts w:ascii="Verdana" w:hAnsi="Verdana"/>
          <w:sz w:val="20"/>
          <w:szCs w:val="20"/>
        </w:rPr>
        <w:t>Rua: Eli Cardoso S/Nº – Bairro Santa Cecília.</w:t>
      </w:r>
    </w:p>
    <w:p>
      <w:pPr>
        <w:pStyle w:val="Normal"/>
        <w:spacing w:lineRule="auto" w:line="240"/>
        <w:ind w:left="108"/>
        <w:jc w:val="both"/>
        <w:rPr/>
      </w:pPr>
      <w:r>
        <w:rPr>
          <w:rFonts w:ascii="Verdana" w:hAnsi="Verdana"/>
          <w:sz w:val="20"/>
          <w:szCs w:val="20"/>
        </w:rPr>
        <w:t xml:space="preserve">Escola - EMEF Irmã Adelaide Bertocchi - Polivalente. </w:t>
      </w:r>
    </w:p>
    <w:p>
      <w:pPr>
        <w:pStyle w:val="Normal"/>
        <w:spacing w:lineRule="auto" w:line="240"/>
        <w:ind w:left="108"/>
        <w:jc w:val="both"/>
        <w:rPr/>
      </w:pPr>
      <w:r>
        <w:rPr>
          <w:rFonts w:ascii="Verdana" w:hAnsi="Verdana"/>
          <w:sz w:val="20"/>
          <w:szCs w:val="20"/>
        </w:rPr>
        <w:t>SEMAE – Setor de Merenda Escolar.</w:t>
      </w:r>
    </w:p>
    <w:p>
      <w:pPr>
        <w:pStyle w:val="Normal"/>
        <w:tabs>
          <w:tab w:val="clear" w:pos="720"/>
          <w:tab w:val="left" w:pos="5710" w:leader="none"/>
        </w:tabs>
        <w:spacing w:lineRule="auto" w:line="240"/>
        <w:ind w:left="108"/>
        <w:jc w:val="both"/>
        <w:rPr/>
      </w:pPr>
      <w:r>
        <w:rPr>
          <w:rFonts w:ascii="Verdana" w:hAnsi="Verdana"/>
          <w:sz w:val="20"/>
          <w:szCs w:val="20"/>
        </w:rPr>
        <w:t>São Gabriel da Palha – ES</w:t>
        <w:tab/>
      </w:r>
    </w:p>
    <w:p>
      <w:pPr>
        <w:pStyle w:val="Normal"/>
        <w:spacing w:lineRule="auto" w:line="240"/>
        <w:ind w:left="108"/>
        <w:jc w:val="both"/>
        <w:rPr/>
      </w:pPr>
      <w:r>
        <w:rPr>
          <w:rFonts w:ascii="Verdana" w:hAnsi="Verdana"/>
          <w:sz w:val="20"/>
          <w:szCs w:val="20"/>
        </w:rPr>
        <w:t>CEP 29.7800-000</w:t>
      </w:r>
    </w:p>
    <w:p>
      <w:pPr>
        <w:pStyle w:val="Normal"/>
        <w:spacing w:lineRule="auto" w:line="240"/>
        <w:ind w:left="50"/>
        <w:jc w:val="both"/>
        <w:rPr>
          <w:rFonts w:ascii="Verdana" w:hAnsi="Verdana"/>
          <w:b/>
          <w:sz w:val="20"/>
          <w:szCs w:val="20"/>
        </w:rPr>
      </w:pPr>
      <w:r>
        <w:rPr>
          <w:rFonts w:ascii="Verdana" w:hAnsi="Verdana"/>
          <w:b/>
          <w:sz w:val="20"/>
          <w:szCs w:val="20"/>
        </w:rPr>
      </w:r>
    </w:p>
    <w:p>
      <w:pPr>
        <w:pStyle w:val="Normal"/>
        <w:spacing w:lineRule="auto" w:line="240"/>
        <w:ind w:left="110"/>
        <w:jc w:val="both"/>
        <w:rPr/>
      </w:pPr>
      <w:r>
        <w:rPr>
          <w:rFonts w:ascii="Verdana" w:hAnsi="Verdana"/>
          <w:b/>
          <w:sz w:val="20"/>
          <w:szCs w:val="20"/>
        </w:rPr>
        <w:t>CONTATO</w:t>
      </w:r>
    </w:p>
    <w:p>
      <w:pPr>
        <w:pStyle w:val="Normal"/>
        <w:spacing w:lineRule="auto" w:line="240"/>
        <w:ind w:left="110"/>
        <w:jc w:val="both"/>
        <w:rPr/>
      </w:pPr>
      <w:r>
        <w:rPr>
          <w:rFonts w:ascii="Verdana" w:hAnsi="Verdana"/>
          <w:b/>
          <w:sz w:val="20"/>
          <w:szCs w:val="20"/>
        </w:rPr>
        <w:t xml:space="preserve">Tel: </w:t>
      </w:r>
      <w:r>
        <w:rPr>
          <w:rFonts w:ascii="Verdana" w:hAnsi="Verdana"/>
          <w:sz w:val="20"/>
          <w:szCs w:val="20"/>
        </w:rPr>
        <w:t>99977-8342</w:t>
      </w:r>
      <w:r>
        <w:rPr>
          <w:rFonts w:ascii="Verdana" w:hAnsi="Verdana"/>
          <w:b/>
          <w:sz w:val="20"/>
          <w:szCs w:val="20"/>
        </w:rPr>
        <w:t xml:space="preserve"> - </w:t>
      </w:r>
      <w:r>
        <w:rPr>
          <w:rFonts w:ascii="Verdana" w:hAnsi="Verdana"/>
          <w:sz w:val="20"/>
          <w:szCs w:val="20"/>
        </w:rPr>
        <w:t xml:space="preserve">99574-4758 - </w:t>
      </w:r>
    </w:p>
    <w:p>
      <w:pPr>
        <w:pStyle w:val="Normal"/>
        <w:spacing w:lineRule="auto" w:line="240"/>
        <w:ind w:left="110"/>
        <w:jc w:val="both"/>
        <w:rPr/>
      </w:pPr>
      <w:r>
        <w:rPr>
          <w:rFonts w:ascii="Verdana" w:hAnsi="Verdana"/>
          <w:b/>
          <w:sz w:val="20"/>
          <w:szCs w:val="20"/>
        </w:rPr>
        <w:t xml:space="preserve">Email: </w:t>
      </w:r>
      <w:r>
        <w:rPr>
          <w:rFonts w:ascii="Verdana" w:hAnsi="Verdana"/>
          <w:sz w:val="20"/>
          <w:szCs w:val="20"/>
        </w:rPr>
        <w:t>financeirosemecsgp@gmail.com</w:t>
      </w:r>
    </w:p>
    <w:p>
      <w:pPr>
        <w:pStyle w:val="Normal"/>
        <w:spacing w:lineRule="auto" w:line="240"/>
        <w:ind w:left="110"/>
        <w:jc w:val="both"/>
        <w:rPr/>
      </w:pPr>
      <w:r>
        <w:rPr>
          <w:rFonts w:ascii="Verdana" w:hAnsi="Verdana"/>
          <w:b/>
          <w:sz w:val="20"/>
          <w:szCs w:val="20"/>
        </w:rPr>
        <w:t xml:space="preserve">Responsável: </w:t>
      </w:r>
      <w:r>
        <w:rPr>
          <w:rFonts w:ascii="Verdana" w:hAnsi="Verdana"/>
          <w:sz w:val="20"/>
          <w:szCs w:val="20"/>
        </w:rPr>
        <w:t>Secretaria Municipal de Educação e SEMAE – Setor de Alimentação Escolar.</w:t>
      </w:r>
    </w:p>
    <w:p>
      <w:pPr>
        <w:pStyle w:val="Normal"/>
        <w:spacing w:lineRule="auto" w:line="240"/>
        <w:jc w:val="both"/>
        <w:rPr>
          <w:rFonts w:ascii="Verdana" w:hAnsi="Verdana"/>
          <w:b/>
          <w:sz w:val="20"/>
          <w:szCs w:val="20"/>
        </w:rPr>
      </w:pPr>
      <w:r>
        <w:rPr>
          <w:rFonts w:ascii="Verdana" w:hAnsi="Verdana"/>
          <w:b/>
          <w:sz w:val="20"/>
          <w:szCs w:val="20"/>
        </w:rPr>
      </w:r>
    </w:p>
    <w:p>
      <w:pPr>
        <w:pStyle w:val="Normal"/>
        <w:shd w:val="clear" w:color="auto" w:fill="FFFFFF"/>
        <w:spacing w:lineRule="auto" w:line="240"/>
        <w:jc w:val="both"/>
        <w:rPr/>
      </w:pPr>
      <w:r>
        <w:rPr>
          <w:rFonts w:ascii="Verdana" w:hAnsi="Verdana"/>
          <w:b/>
          <w:sz w:val="20"/>
          <w:szCs w:val="20"/>
        </w:rPr>
        <w:t>3</w:t>
      </w:r>
      <w:r>
        <w:rPr>
          <w:rFonts w:ascii="Verdana" w:hAnsi="Verdana"/>
          <w:b/>
          <w:color w:val="000000"/>
          <w:sz w:val="20"/>
          <w:szCs w:val="20"/>
        </w:rPr>
        <w:t>. PREVISÃO NO PLANO DE CONTRATAÇÕES ANUAL</w:t>
      </w:r>
    </w:p>
    <w:p>
      <w:pPr>
        <w:pStyle w:val="Normal"/>
        <w:spacing w:lineRule="auto" w:line="240"/>
        <w:jc w:val="both"/>
        <w:rPr/>
      </w:pPr>
      <w:r>
        <w:rPr>
          <w:rFonts w:ascii="Verdana" w:hAnsi="Verdana"/>
          <w:b/>
          <w:sz w:val="20"/>
          <w:szCs w:val="20"/>
        </w:rPr>
        <w:t xml:space="preserve">3.1. </w:t>
      </w:r>
      <w:r>
        <w:rPr>
          <w:rFonts w:ascii="Verdana" w:hAnsi="Verdana"/>
          <w:sz w:val="20"/>
          <w:szCs w:val="20"/>
        </w:rPr>
        <w:t>A contratação pretendida tem consonância com o planejamento estratégico desta Instituição, uma vez que consta na sua programação orçamentária e financeira anual.</w:t>
      </w:r>
    </w:p>
    <w:p>
      <w:pPr>
        <w:pStyle w:val="Normal"/>
        <w:spacing w:lineRule="auto" w:line="240"/>
        <w:jc w:val="both"/>
        <w:rPr/>
      </w:pPr>
      <w:r>
        <w:rPr>
          <w:rFonts w:ascii="Verdana" w:hAnsi="Verdana"/>
          <w:b/>
          <w:sz w:val="20"/>
          <w:szCs w:val="20"/>
          <w:highlight w:val="white"/>
        </w:rPr>
        <w:t>3.2.</w:t>
      </w:r>
      <w:r>
        <w:rPr>
          <w:rFonts w:ascii="Verdana" w:hAnsi="Verdana"/>
          <w:sz w:val="20"/>
          <w:szCs w:val="20"/>
          <w:highlight w:val="white"/>
        </w:rPr>
        <w:t xml:space="preserve"> Foi produzido documento de formalização de demanda, sob o número </w:t>
      </w:r>
      <w:r>
        <w:rPr>
          <w:rFonts w:ascii="Verdana" w:hAnsi="Verdana"/>
          <w:b/>
          <w:bCs/>
          <w:sz w:val="20"/>
          <w:szCs w:val="20"/>
          <w:highlight w:val="white"/>
        </w:rPr>
        <w:t>16</w:t>
      </w:r>
      <w:r>
        <w:rPr>
          <w:rFonts w:ascii="Verdana" w:hAnsi="Verdana"/>
          <w:sz w:val="20"/>
          <w:szCs w:val="20"/>
          <w:highlight w:val="white"/>
        </w:rPr>
        <w:t xml:space="preserve">, que contempla a contratação de serviços de </w:t>
      </w:r>
      <w:r>
        <w:rPr>
          <w:rFonts w:ascii="Verdana" w:hAnsi="Verdana"/>
          <w:b/>
          <w:sz w:val="20"/>
          <w:szCs w:val="20"/>
          <w:highlight w:val="white"/>
        </w:rPr>
        <w:t>aquisição de gêneros alimentícios</w:t>
      </w:r>
      <w:r>
        <w:rPr>
          <w:rFonts w:ascii="Verdana" w:hAnsi="Verdana"/>
          <w:sz w:val="20"/>
          <w:szCs w:val="20"/>
          <w:highlight w:val="white"/>
        </w:rPr>
        <w:t>.</w:t>
        <w:br/>
      </w:r>
      <w:r>
        <w:rPr>
          <w:rFonts w:ascii="Verdana" w:hAnsi="Verdana"/>
          <w:b/>
          <w:sz w:val="20"/>
          <w:szCs w:val="20"/>
          <w:highlight w:val="white"/>
        </w:rPr>
        <w:t xml:space="preserve">3.3. </w:t>
      </w:r>
      <w:r>
        <w:rPr>
          <w:rFonts w:ascii="Verdana" w:hAnsi="Verdana"/>
          <w:sz w:val="20"/>
          <w:szCs w:val="20"/>
          <w:highlight w:val="white"/>
        </w:rPr>
        <w:t>O contrato e/ou Ata de Registro de Preços advindos desta aquisição, poderão ser prorrogados conforme Lei. 14.133/2021, precedida de Pesquisa de Mercado, para comprovar o preço vantajoso.</w:t>
      </w:r>
    </w:p>
    <w:p>
      <w:pPr>
        <w:pStyle w:val="Normal"/>
        <w:spacing w:lineRule="auto" w:line="240"/>
        <w:jc w:val="both"/>
        <w:rPr>
          <w:rFonts w:ascii="Verdana" w:hAnsi="Verdana"/>
          <w:b/>
          <w:sz w:val="20"/>
          <w:szCs w:val="20"/>
        </w:rPr>
      </w:pPr>
      <w:r>
        <w:rPr>
          <w:rFonts w:ascii="Verdana" w:hAnsi="Verdana"/>
          <w:b/>
          <w:sz w:val="20"/>
          <w:szCs w:val="20"/>
        </w:rPr>
      </w:r>
    </w:p>
    <w:p>
      <w:pPr>
        <w:pStyle w:val="Normal"/>
        <w:spacing w:lineRule="auto" w:line="240"/>
        <w:jc w:val="both"/>
        <w:rPr/>
      </w:pPr>
      <w:r>
        <w:rPr>
          <w:rFonts w:ascii="Verdana" w:hAnsi="Verdana"/>
          <w:b/>
          <w:sz w:val="20"/>
          <w:szCs w:val="20"/>
        </w:rPr>
        <w:t>4. DESCRIÇÃO DA NECESSIDADE</w:t>
      </w:r>
    </w:p>
    <w:p>
      <w:pPr>
        <w:pStyle w:val="Normal"/>
        <w:spacing w:lineRule="auto" w:line="240"/>
        <w:ind w:left="110"/>
        <w:jc w:val="both"/>
        <w:rPr/>
      </w:pPr>
      <w:r>
        <w:rPr>
          <w:rFonts w:ascii="Verdana" w:hAnsi="Verdana"/>
          <w:b/>
          <w:sz w:val="20"/>
          <w:szCs w:val="20"/>
        </w:rPr>
        <w:t xml:space="preserve">4.1. </w:t>
      </w:r>
      <w:r>
        <w:rPr>
          <w:rFonts w:ascii="Verdana" w:hAnsi="Verdana"/>
          <w:sz w:val="20"/>
          <w:szCs w:val="20"/>
        </w:rPr>
        <w:t xml:space="preserve">Aquisição, </w:t>
      </w:r>
      <w:r>
        <w:rPr>
          <w:rFonts w:ascii="Verdana" w:hAnsi="Verdana"/>
          <w:b/>
          <w:sz w:val="20"/>
          <w:szCs w:val="20"/>
        </w:rPr>
        <w:t>por meio de pregão eletrônico</w:t>
      </w:r>
      <w:r>
        <w:rPr>
          <w:rFonts w:ascii="Verdana" w:hAnsi="Verdana"/>
          <w:sz w:val="20"/>
          <w:szCs w:val="20"/>
        </w:rPr>
        <w:t>, para aquisição de gêneros alimentícios para atender ao Programa Nacional de Alimentação Escolar.</w:t>
      </w:r>
    </w:p>
    <w:p>
      <w:pPr>
        <w:pStyle w:val="Normal"/>
        <w:spacing w:lineRule="auto" w:line="240"/>
        <w:ind w:left="110"/>
        <w:jc w:val="both"/>
        <w:rPr/>
      </w:pPr>
      <w:r>
        <w:rPr>
          <w:rFonts w:ascii="Verdana" w:hAnsi="Verdana"/>
          <w:b/>
          <w:sz w:val="20"/>
          <w:szCs w:val="20"/>
        </w:rPr>
        <w:t>4.2.</w:t>
      </w:r>
      <w:r>
        <w:rPr>
          <w:rFonts w:ascii="Verdana" w:hAnsi="Verdana"/>
          <w:sz w:val="20"/>
          <w:szCs w:val="20"/>
        </w:rPr>
        <w:t xml:space="preserve"> A quantidade foi estimada com base na demanda que será necessária para atender as Escolas, com levantamento realizado e informado pela Nutricionista Responsável Técnica do Programa Nacional de Alimentação Escolar no Município de São Gabriel da Palha;</w:t>
      </w:r>
    </w:p>
    <w:p>
      <w:pPr>
        <w:pStyle w:val="Normal"/>
        <w:spacing w:lineRule="auto" w:line="240"/>
        <w:ind w:left="110"/>
        <w:jc w:val="both"/>
        <w:rPr/>
      </w:pPr>
      <w:r>
        <w:rPr>
          <w:rFonts w:ascii="Verdana" w:hAnsi="Verdana"/>
          <w:b/>
          <w:sz w:val="20"/>
          <w:szCs w:val="20"/>
        </w:rPr>
        <w:t xml:space="preserve">4.3. </w:t>
      </w:r>
      <w:r>
        <w:rPr>
          <w:rFonts w:ascii="Verdana" w:hAnsi="Verdana"/>
          <w:sz w:val="20"/>
          <w:szCs w:val="20"/>
        </w:rPr>
        <w:t>Informamos</w:t>
      </w:r>
      <w:r>
        <w:rPr>
          <w:rFonts w:ascii="Verdana" w:hAnsi="Verdana"/>
          <w:b/>
          <w:sz w:val="20"/>
          <w:szCs w:val="20"/>
        </w:rPr>
        <w:t xml:space="preserve"> </w:t>
      </w:r>
      <w:r>
        <w:rPr>
          <w:rFonts w:ascii="Verdana" w:hAnsi="Verdana"/>
          <w:sz w:val="20"/>
          <w:szCs w:val="20"/>
        </w:rPr>
        <w:t>que as Escolas da Rede Municipal necessitam dos gêneros alimentícios, devido seu valor nutricional e sua importância perante o crescimento e desenvolvimento dos alunos atendidos pelo programa de Alimentação Escolar;</w:t>
      </w:r>
    </w:p>
    <w:p>
      <w:pPr>
        <w:pStyle w:val="Normal"/>
        <w:spacing w:lineRule="auto" w:line="240"/>
        <w:ind w:left="110"/>
        <w:jc w:val="both"/>
        <w:rPr/>
      </w:pPr>
      <w:r>
        <w:rPr>
          <w:rFonts w:ascii="Verdana" w:hAnsi="Verdana"/>
          <w:b/>
          <w:sz w:val="20"/>
          <w:szCs w:val="20"/>
        </w:rPr>
        <w:t>4.4.</w:t>
      </w:r>
      <w:r>
        <w:rPr>
          <w:rFonts w:ascii="Verdana" w:hAnsi="Verdana"/>
          <w:sz w:val="20"/>
          <w:szCs w:val="20"/>
        </w:rPr>
        <w:t xml:space="preserve"> Considerando que para manter um atendimento ao Programa Nacional de Alimentação Escolar durante o período letivo com fornecimento de gêneros perecíveis, conforme a discriminação dos itens, faz se necessária a aquisição.</w:t>
      </w:r>
    </w:p>
    <w:p>
      <w:pPr>
        <w:pStyle w:val="Normal"/>
        <w:spacing w:lineRule="auto" w:line="240"/>
        <w:jc w:val="both"/>
        <w:rPr/>
      </w:pPr>
      <w:r>
        <w:rPr>
          <w:rFonts w:ascii="Verdana" w:hAnsi="Verdana"/>
          <w:b/>
          <w:sz w:val="20"/>
          <w:szCs w:val="20"/>
        </w:rPr>
        <w:t>4.5.</w:t>
      </w:r>
      <w:r>
        <w:rPr>
          <w:rFonts w:ascii="Verdana" w:hAnsi="Verdana"/>
          <w:sz w:val="20"/>
          <w:szCs w:val="20"/>
        </w:rPr>
        <w:t xml:space="preserve"> Diante da necessidade acima, iniciou-se o presente Estudo Técnico Preliminar por meio do qual será possível decidir qual é a melhor solução.</w:t>
      </w:r>
    </w:p>
    <w:p>
      <w:pPr>
        <w:pStyle w:val="Normal"/>
        <w:spacing w:lineRule="auto" w:line="240"/>
        <w:jc w:val="both"/>
        <w:rPr>
          <w:rFonts w:ascii="Verdana" w:hAnsi="Verdana"/>
          <w:color w:val="000000"/>
          <w:sz w:val="20"/>
          <w:szCs w:val="20"/>
        </w:rPr>
      </w:pPr>
      <w:r>
        <w:rPr>
          <w:rFonts w:ascii="Verdana" w:hAnsi="Verdana"/>
          <w:color w:val="000000"/>
          <w:sz w:val="20"/>
          <w:szCs w:val="20"/>
        </w:rPr>
      </w:r>
    </w:p>
    <w:p>
      <w:pPr>
        <w:pStyle w:val="Normal"/>
        <w:spacing w:lineRule="auto" w:line="240"/>
        <w:rPr/>
      </w:pPr>
      <w:r>
        <w:rPr>
          <w:rFonts w:ascii="Verdana" w:hAnsi="Verdana"/>
          <w:b/>
          <w:sz w:val="20"/>
          <w:szCs w:val="20"/>
        </w:rPr>
        <w:t>5. ÁREA REQUISITANTE</w:t>
      </w:r>
    </w:p>
    <w:p>
      <w:pPr>
        <w:pStyle w:val="Normal"/>
        <w:spacing w:lineRule="auto" w:line="240"/>
        <w:rPr/>
      </w:pPr>
      <w:r>
        <w:rPr>
          <w:rFonts w:ascii="Verdana" w:hAnsi="Verdana"/>
          <w:sz w:val="20"/>
          <w:szCs w:val="20"/>
        </w:rPr>
        <w:t xml:space="preserve">Secretaria Municipal de </w:t>
      </w:r>
      <w:r>
        <w:rPr>
          <w:rFonts w:ascii="Verdana" w:hAnsi="Verdana"/>
          <w:color w:val="000000"/>
          <w:sz w:val="20"/>
          <w:szCs w:val="20"/>
        </w:rPr>
        <w:t>Educação;</w:t>
      </w:r>
    </w:p>
    <w:p>
      <w:pPr>
        <w:pStyle w:val="Normal"/>
        <w:spacing w:lineRule="auto" w:line="240"/>
        <w:rPr>
          <w:rFonts w:ascii="Verdana" w:hAnsi="Verdana"/>
          <w:sz w:val="20"/>
          <w:szCs w:val="20"/>
        </w:rPr>
      </w:pPr>
      <w:r>
        <w:rPr>
          <w:rFonts w:ascii="Verdana" w:hAnsi="Verdana"/>
          <w:sz w:val="20"/>
          <w:szCs w:val="20"/>
        </w:rPr>
      </w:r>
    </w:p>
    <w:p>
      <w:pPr>
        <w:pStyle w:val="Normal"/>
        <w:spacing w:lineRule="auto" w:line="240"/>
        <w:jc w:val="both"/>
        <w:rPr/>
      </w:pPr>
      <w:r>
        <w:rPr>
          <w:rFonts w:ascii="Verdana" w:hAnsi="Verdana"/>
          <w:b/>
          <w:sz w:val="20"/>
          <w:szCs w:val="20"/>
        </w:rPr>
        <w:t>6.</w:t>
      </w:r>
      <w:r>
        <w:rPr>
          <w:rFonts w:ascii="Verdana" w:hAnsi="Verdana"/>
          <w:b/>
          <w:sz w:val="20"/>
          <w:szCs w:val="20"/>
          <w:highlight w:val="white"/>
        </w:rPr>
        <w:t xml:space="preserve"> DESCRIÇÃO DOS REQUISITOS DA CONTRATAÇÃO</w:t>
      </w:r>
    </w:p>
    <w:p>
      <w:pPr>
        <w:pStyle w:val="Normal"/>
        <w:spacing w:lineRule="auto" w:line="240"/>
        <w:jc w:val="both"/>
        <w:rPr/>
      </w:pPr>
      <w:r>
        <w:rPr>
          <w:rFonts w:ascii="Verdana" w:hAnsi="Verdana"/>
          <w:b/>
          <w:sz w:val="20"/>
          <w:szCs w:val="20"/>
        </w:rPr>
        <w:t xml:space="preserve">6.1 </w:t>
      </w:r>
      <w:r>
        <w:rPr>
          <w:rFonts w:ascii="Verdana" w:hAnsi="Verdana"/>
          <w:bCs/>
          <w:sz w:val="20"/>
          <w:szCs w:val="20"/>
        </w:rPr>
        <w:t xml:space="preserve">Fornecimento de gêneros alimentícios em atendimento ao </w:t>
      </w:r>
      <w:r>
        <w:rPr>
          <w:rFonts w:ascii="Verdana" w:hAnsi="Verdana"/>
          <w:b/>
          <w:sz w:val="20"/>
          <w:szCs w:val="20"/>
        </w:rPr>
        <w:t>PNAE</w:t>
      </w:r>
      <w:r>
        <w:rPr>
          <w:rFonts w:ascii="Verdana" w:hAnsi="Verdana"/>
          <w:bCs/>
          <w:sz w:val="20"/>
          <w:szCs w:val="20"/>
        </w:rPr>
        <w:t xml:space="preserve"> - Programa Nacional de Alimentação Escolar</w:t>
      </w:r>
      <w:r>
        <w:rPr>
          <w:rFonts w:ascii="Verdana" w:hAnsi="Verdana"/>
          <w:sz w:val="20"/>
          <w:szCs w:val="20"/>
        </w:rPr>
        <w:t>, para as Unidades escolares vinculadas à Secretaria de Educação. A CONTRATADA deve:</w:t>
      </w:r>
    </w:p>
    <w:p>
      <w:pPr>
        <w:pStyle w:val="Normal"/>
        <w:tabs>
          <w:tab w:val="clear" w:pos="720"/>
          <w:tab w:val="left" w:pos="3390" w:leader="none"/>
          <w:tab w:val="center" w:pos="5032" w:leader="none"/>
        </w:tabs>
        <w:spacing w:lineRule="auto" w:line="240"/>
        <w:jc w:val="both"/>
        <w:rPr/>
      </w:pPr>
      <w:r>
        <w:rPr>
          <w:rFonts w:ascii="Verdana" w:hAnsi="Verdana"/>
          <w:b/>
          <w:sz w:val="20"/>
          <w:szCs w:val="20"/>
        </w:rPr>
        <w:t>a)</w:t>
      </w:r>
      <w:r>
        <w:rPr>
          <w:rFonts w:ascii="Verdana" w:hAnsi="Verdana"/>
          <w:sz w:val="20"/>
          <w:szCs w:val="20"/>
        </w:rPr>
        <w:t xml:space="preserve"> Nos preços apresentados deverão estar incluídas todas as despesas com mão de obra, encargos trabalhistas, previdenciários, fiscais, comerciais, despesas e obrigações financeiras de qualquer natureza e outras despesas, diretas e indiretas, inclusive lucro, necessários à perfeita execução do contrato;</w:t>
      </w:r>
    </w:p>
    <w:p>
      <w:pPr>
        <w:pStyle w:val="Normal"/>
        <w:spacing w:lineRule="auto" w:line="240"/>
        <w:jc w:val="both"/>
        <w:rPr/>
      </w:pPr>
      <w:r>
        <w:rPr>
          <w:rFonts w:ascii="Verdana" w:hAnsi="Verdana"/>
          <w:b/>
          <w:sz w:val="20"/>
          <w:szCs w:val="20"/>
        </w:rPr>
        <w:t xml:space="preserve">b) </w:t>
      </w:r>
      <w:r>
        <w:rPr>
          <w:rFonts w:ascii="Verdana" w:hAnsi="Verdana"/>
          <w:sz w:val="20"/>
          <w:szCs w:val="20"/>
        </w:rPr>
        <w:t>Os insumos necessários às embalagens e para as entregas serão fornecidos pela contratada.</w:t>
      </w:r>
    </w:p>
    <w:p>
      <w:pPr>
        <w:pStyle w:val="Normal"/>
        <w:spacing w:lineRule="auto" w:line="240"/>
        <w:jc w:val="both"/>
        <w:rPr/>
      </w:pPr>
      <w:r>
        <w:rPr>
          <w:rFonts w:ascii="Verdana" w:hAnsi="Verdana"/>
          <w:b/>
          <w:sz w:val="20"/>
          <w:szCs w:val="20"/>
          <w:highlight w:val="white"/>
        </w:rPr>
        <w:t>c)</w:t>
      </w:r>
      <w:r>
        <w:rPr>
          <w:rFonts w:ascii="Verdana" w:hAnsi="Verdana"/>
          <w:sz w:val="20"/>
          <w:szCs w:val="20"/>
          <w:highlight w:val="white"/>
        </w:rPr>
        <w:t xml:space="preserve"> A contratada deverá cumprir com as entregas de acordo com o cronograma com as datas e quantidades anexado ao contrato. </w:t>
      </w:r>
    </w:p>
    <w:p>
      <w:pPr>
        <w:pStyle w:val="Normal"/>
        <w:spacing w:lineRule="auto" w:line="240"/>
        <w:jc w:val="both"/>
        <w:rPr>
          <w:rFonts w:ascii="Verdana" w:hAnsi="Verdana"/>
          <w:sz w:val="20"/>
          <w:szCs w:val="20"/>
        </w:rPr>
      </w:pPr>
      <w:r>
        <w:rPr>
          <w:rFonts w:ascii="Verdana" w:hAnsi="Verdana"/>
          <w:sz w:val="20"/>
          <w:szCs w:val="20"/>
        </w:rPr>
      </w:r>
    </w:p>
    <w:p>
      <w:pPr>
        <w:pStyle w:val="Normal"/>
        <w:spacing w:lineRule="auto" w:line="240"/>
        <w:jc w:val="both"/>
        <w:rPr/>
      </w:pPr>
      <w:r>
        <w:rPr>
          <w:rFonts w:ascii="Verdana" w:hAnsi="Verdana"/>
          <w:b/>
          <w:sz w:val="20"/>
          <w:szCs w:val="20"/>
        </w:rPr>
        <w:t>6.2 Da qualificação técnica.</w:t>
      </w:r>
    </w:p>
    <w:p>
      <w:pPr>
        <w:pStyle w:val="Normal"/>
        <w:spacing w:lineRule="auto" w:line="240"/>
        <w:jc w:val="both"/>
        <w:rPr/>
      </w:pPr>
      <w:r>
        <w:rPr>
          <w:rFonts w:ascii="Verdana" w:hAnsi="Verdana"/>
          <w:b/>
          <w:sz w:val="20"/>
          <w:szCs w:val="20"/>
        </w:rPr>
        <w:t>6.2.1.</w:t>
      </w:r>
      <w:r>
        <w:rPr>
          <w:rFonts w:ascii="Verdana" w:hAnsi="Verdana"/>
          <w:sz w:val="20"/>
          <w:szCs w:val="20"/>
        </w:rPr>
        <w:t xml:space="preserve"> Comprovação de aptidão para desempenho de atividade pertinente e compatível com o objeto desta licitação, mediante apresentação de </w:t>
      </w:r>
      <w:r>
        <w:rPr>
          <w:rFonts w:ascii="Verdana" w:hAnsi="Verdana"/>
          <w:sz w:val="20"/>
          <w:szCs w:val="20"/>
          <w:highlight w:val="white"/>
        </w:rPr>
        <w:t>documentos que atestem capacidade técnica, tais como Documentos de Habilitação Fiscal, Social e Trabalhista, regularidade com relação a impostos, contribuições sociais e obrigações trabalhistas.</w:t>
      </w:r>
    </w:p>
    <w:p>
      <w:pPr>
        <w:pStyle w:val="Normal"/>
        <w:spacing w:lineRule="auto" w:line="240"/>
        <w:jc w:val="both"/>
        <w:rPr/>
      </w:pPr>
      <w:r>
        <w:rPr>
          <w:rFonts w:ascii="Verdana" w:hAnsi="Verdana"/>
          <w:b/>
          <w:bCs/>
          <w:sz w:val="20"/>
          <w:szCs w:val="20"/>
        </w:rPr>
        <w:t>6.2.2. Acerca do Atestados de Capacidade Técnica</w:t>
      </w:r>
      <w:r>
        <w:rPr>
          <w:rFonts w:ascii="Verdana" w:hAnsi="Verdana"/>
          <w:sz w:val="20"/>
          <w:szCs w:val="20"/>
        </w:rPr>
        <w:t xml:space="preserve">: Solicita-se comprovação de que a empresa já forneceu alimentação coletiva ou escolar similares em quantidade e complexidade compatíveis, devido a necessidade de que os alimentos sejam entregues corretamente conforme as especificações, facilitando assim a distribuição conforme cronogramas de entregas. Um exemplo é a especificação das carnes, principalmente do item </w:t>
      </w:r>
      <w:r>
        <w:rPr>
          <w:rFonts w:ascii="Verdana" w:hAnsi="Verdana"/>
          <w:sz w:val="20"/>
          <w:szCs w:val="20"/>
          <w:u w:val="single"/>
        </w:rPr>
        <w:t>carne bovina moída – acém bovino moído</w:t>
      </w:r>
      <w:r>
        <w:rPr>
          <w:rFonts w:ascii="Verdana" w:hAnsi="Verdana"/>
          <w:sz w:val="20"/>
          <w:szCs w:val="20"/>
        </w:rPr>
        <w:t>, que deve ser entregue em pacotes de 1Kg, para que não seja necessário o manuseio de descongelamento de peças maiores. Para maior segurança alimentar as entregas fracionadas (como pacotes de 1kg) evita o descongelamento e porcionamento inadequado na escola em conformidade com o cardápio nutricional escolar, reduzindo o risco de contaminação cruzada e ainda embalagens prontas otimizam o tempo das merendeiras e evitam o desperdício de alimentos.</w:t>
      </w:r>
    </w:p>
    <w:p>
      <w:pPr>
        <w:pStyle w:val="Normal"/>
        <w:spacing w:lineRule="auto" w:line="240"/>
        <w:jc w:val="both"/>
        <w:rPr/>
      </w:pPr>
      <w:r>
        <w:rPr>
          <w:rFonts w:ascii="Verdana" w:hAnsi="Verdana"/>
          <w:b/>
          <w:sz w:val="20"/>
          <w:szCs w:val="20"/>
        </w:rPr>
        <w:t xml:space="preserve">6.2.3. </w:t>
      </w:r>
      <w:r>
        <w:rPr>
          <w:rFonts w:ascii="Verdana" w:hAnsi="Verdana"/>
          <w:sz w:val="20"/>
          <w:szCs w:val="20"/>
        </w:rPr>
        <w:t>Para alimentos perecíveis ou congelados, exige-se certificação de que a frota possui climatização/refrigeração adequada para manter a cadeia de frio.</w:t>
      </w:r>
    </w:p>
    <w:p>
      <w:pPr>
        <w:pStyle w:val="Normal"/>
        <w:spacing w:lineRule="auto" w:line="240"/>
        <w:jc w:val="both"/>
        <w:rPr/>
      </w:pPr>
      <w:r>
        <w:rPr>
          <w:rFonts w:ascii="Verdana" w:hAnsi="Verdana"/>
          <w:b/>
          <w:bCs/>
          <w:sz w:val="20"/>
          <w:szCs w:val="20"/>
        </w:rPr>
        <w:t xml:space="preserve">6.2.4. </w:t>
      </w:r>
      <w:r>
        <w:rPr>
          <w:rFonts w:ascii="Verdana" w:hAnsi="Verdana"/>
          <w:sz w:val="20"/>
          <w:szCs w:val="20"/>
        </w:rPr>
        <w:t>Deverá ser observada na descrição dos itens e</w:t>
      </w:r>
      <w:r>
        <w:rPr>
          <w:rFonts w:ascii="Verdana" w:hAnsi="Verdana"/>
          <w:b/>
          <w:bCs/>
          <w:sz w:val="20"/>
          <w:szCs w:val="20"/>
        </w:rPr>
        <w:t xml:space="preserve"> </w:t>
      </w:r>
      <w:r>
        <w:rPr>
          <w:rFonts w:ascii="Verdana" w:hAnsi="Verdana"/>
          <w:sz w:val="20"/>
          <w:szCs w:val="20"/>
        </w:rPr>
        <w:t xml:space="preserve">obrigatório o fornecimento dos produtos de origem animal (selos SIF, SIE ou SIM) ou vegetal regulamentados. </w:t>
      </w:r>
      <w:r>
        <w:rPr>
          <w:rFonts w:ascii="Verdana" w:hAnsi="Verdana"/>
          <w:b/>
          <w:bCs/>
          <w:sz w:val="20"/>
          <w:szCs w:val="20"/>
        </w:rPr>
        <w:t>Selo de Inspeção:</w:t>
      </w:r>
      <w:r>
        <w:rPr>
          <w:rFonts w:ascii="Verdana" w:hAnsi="Verdana"/>
          <w:sz w:val="20"/>
          <w:szCs w:val="20"/>
        </w:rPr>
        <w:t xml:space="preserve"> Certificado de Registro no Serviço de Inspeção Federal (</w:t>
      </w:r>
      <w:r>
        <w:rPr>
          <w:rFonts w:ascii="Verdana" w:hAnsi="Verdana"/>
          <w:b/>
          <w:bCs/>
          <w:sz w:val="20"/>
          <w:szCs w:val="20"/>
        </w:rPr>
        <w:t>SIF</w:t>
      </w:r>
      <w:r>
        <w:rPr>
          <w:rFonts w:ascii="Verdana" w:hAnsi="Verdana"/>
          <w:sz w:val="20"/>
          <w:szCs w:val="20"/>
        </w:rPr>
        <w:t>), Estadual (</w:t>
      </w:r>
      <w:r>
        <w:rPr>
          <w:rFonts w:ascii="Verdana" w:hAnsi="Verdana"/>
          <w:b/>
          <w:bCs/>
          <w:sz w:val="20"/>
          <w:szCs w:val="20"/>
        </w:rPr>
        <w:t>SIE</w:t>
      </w:r>
      <w:r>
        <w:rPr>
          <w:rFonts w:ascii="Verdana" w:hAnsi="Verdana"/>
          <w:sz w:val="20"/>
          <w:szCs w:val="20"/>
        </w:rPr>
        <w:t>) ou Municipal (</w:t>
      </w:r>
      <w:r>
        <w:rPr>
          <w:rFonts w:ascii="Verdana" w:hAnsi="Verdana"/>
          <w:b/>
          <w:bCs/>
          <w:sz w:val="20"/>
          <w:szCs w:val="20"/>
        </w:rPr>
        <w:t>SIM</w:t>
      </w:r>
      <w:r>
        <w:rPr>
          <w:rFonts w:ascii="Verdana" w:hAnsi="Verdana"/>
          <w:sz w:val="20"/>
          <w:szCs w:val="20"/>
        </w:rPr>
        <w:t xml:space="preserve">), ou o selo </w:t>
      </w:r>
      <w:r>
        <w:rPr>
          <w:rFonts w:ascii="Verdana" w:hAnsi="Verdana"/>
          <w:b/>
          <w:bCs/>
          <w:sz w:val="20"/>
          <w:szCs w:val="20"/>
        </w:rPr>
        <w:t>SISBI</w:t>
      </w:r>
      <w:r>
        <w:rPr>
          <w:rFonts w:ascii="Verdana" w:hAnsi="Verdana"/>
          <w:sz w:val="20"/>
          <w:szCs w:val="20"/>
        </w:rPr>
        <w:t xml:space="preserve"> (Sistema Brasileiro de Inspeção de Produtos de Origem Animal).</w:t>
      </w:r>
    </w:p>
    <w:p>
      <w:pPr>
        <w:pStyle w:val="Normal"/>
        <w:spacing w:lineRule="auto" w:line="240"/>
        <w:jc w:val="both"/>
        <w:rPr>
          <w:rFonts w:ascii="Verdana" w:hAnsi="Verdana"/>
          <w:b/>
          <w:bCs/>
          <w:sz w:val="20"/>
          <w:szCs w:val="20"/>
        </w:rPr>
      </w:pPr>
      <w:r>
        <w:rPr>
          <w:rFonts w:ascii="Verdana" w:hAnsi="Verdana"/>
          <w:b/>
          <w:bCs/>
          <w:sz w:val="20"/>
          <w:szCs w:val="20"/>
        </w:rPr>
      </w:r>
    </w:p>
    <w:p>
      <w:pPr>
        <w:pStyle w:val="Normal"/>
        <w:spacing w:lineRule="auto" w:line="240"/>
        <w:jc w:val="both"/>
        <w:rPr/>
      </w:pPr>
      <w:r>
        <w:rPr>
          <w:rFonts w:ascii="Verdana" w:hAnsi="Verdana"/>
          <w:b/>
          <w:bCs/>
          <w:sz w:val="20"/>
          <w:szCs w:val="20"/>
        </w:rPr>
        <w:t>6.3. Do Reajuste.</w:t>
      </w:r>
    </w:p>
    <w:p>
      <w:pPr>
        <w:pStyle w:val="Normal"/>
        <w:spacing w:lineRule="auto" w:line="240"/>
        <w:jc w:val="both"/>
        <w:rPr/>
      </w:pPr>
      <w:r>
        <w:rPr>
          <w:rFonts w:ascii="Verdana" w:hAnsi="Verdana"/>
          <w:b/>
          <w:bCs/>
          <w:sz w:val="20"/>
          <w:szCs w:val="20"/>
        </w:rPr>
        <w:t>6.3.1 Acerca de reajustamento de preços</w:t>
      </w:r>
      <w:r>
        <w:rPr>
          <w:rFonts w:ascii="Verdana" w:hAnsi="Verdana"/>
          <w:sz w:val="20"/>
          <w:szCs w:val="20"/>
        </w:rPr>
        <w:t xml:space="preserve">. Texto de </w:t>
      </w:r>
      <w:r>
        <w:rPr>
          <w:rFonts w:ascii="Verdana" w:hAnsi="Verdana"/>
          <w:sz w:val="20"/>
          <w:szCs w:val="20"/>
          <w:u w:val="single"/>
        </w:rPr>
        <w:t>Orientação Técnica Contábil (setor de contabilidade)</w:t>
      </w:r>
      <w:r>
        <w:rPr>
          <w:rFonts w:ascii="Verdana" w:hAnsi="Verdana"/>
          <w:sz w:val="20"/>
          <w:szCs w:val="20"/>
        </w:rPr>
        <w:t>. Os preços inicialmente registrados ou contratados serão fixos e irreajustáveis pelo período de 12 (doze) meses, contado da data-base do orçamento estimado que fundamentou a contratação. Após o transcurso do interregno anual, os preços poderão ser reajustados pela variação acumulada do Índice Nacional de Preços ao Consumidor Amplo - IPCA, divulgado pelo Instituto Brasileiro de Geografia e Estatística - IBGE, mediante aplicação da fórmula PR = P₀ × (I₁ ÷ I₀). Os reajustamentos subsequentes somente poderão ocorrer após novo período de 12 (doze) meses, contado dos efeitos financeiros do reajustamento anterior, incidindo exclusivamente sobre as obrigações executadas após a aquisição do direito. Na hipótese de extinção ou indisponibilidade do índice, será adotado o índice oficial que vier a substituí-lo ou outro que melhor represente a variação dos custos do objeto, mediante justificativa técnica e decisão da autoridade competente. O reajustamento não se confunde com a recomposição extraordinária do equilíbrio econômico-financeiro, sendo vedada a duplicidade de atualização relativamente ao mesmo período e ao mesmo fato gerador.</w:t>
      </w:r>
    </w:p>
    <w:p>
      <w:pPr>
        <w:pStyle w:val="Normal"/>
        <w:spacing w:lineRule="auto" w:line="240"/>
        <w:jc w:val="both"/>
        <w:rPr>
          <w:rFonts w:ascii="Verdana" w:hAnsi="Verdana"/>
          <w:b/>
          <w:bCs/>
          <w:sz w:val="20"/>
          <w:szCs w:val="20"/>
        </w:rPr>
      </w:pPr>
      <w:r>
        <w:rPr>
          <w:rFonts w:ascii="Verdana" w:hAnsi="Verdana"/>
          <w:b/>
          <w:bCs/>
          <w:sz w:val="20"/>
          <w:szCs w:val="20"/>
        </w:rPr>
      </w:r>
    </w:p>
    <w:p>
      <w:pPr>
        <w:pStyle w:val="Normal"/>
        <w:spacing w:lineRule="auto" w:line="240"/>
        <w:jc w:val="both"/>
        <w:rPr/>
      </w:pPr>
      <w:r>
        <w:rPr>
          <w:rFonts w:ascii="Verdana" w:hAnsi="Verdana"/>
          <w:b/>
          <w:bCs/>
          <w:sz w:val="20"/>
          <w:szCs w:val="20"/>
        </w:rPr>
        <w:t>6.4. Dos requisitos temporais.</w:t>
      </w:r>
    </w:p>
    <w:p>
      <w:pPr>
        <w:pStyle w:val="Normal"/>
        <w:spacing w:lineRule="auto" w:line="240"/>
        <w:jc w:val="both"/>
        <w:rPr/>
      </w:pPr>
      <w:r>
        <w:rPr>
          <w:rFonts w:ascii="Verdana" w:hAnsi="Verdana"/>
          <w:b/>
          <w:sz w:val="20"/>
          <w:szCs w:val="20"/>
        </w:rPr>
        <w:t xml:space="preserve">a) </w:t>
      </w:r>
      <w:r>
        <w:rPr>
          <w:rFonts w:ascii="Verdana" w:hAnsi="Verdana"/>
          <w:sz w:val="20"/>
          <w:szCs w:val="20"/>
          <w:highlight w:val="white"/>
        </w:rPr>
        <w:t>A contratada deverá cumprir com as entregas de acordo com o cronograma anexado aos autos com as datas estipuladas e quantidades, que deverá ser anexado ao contrato, com duração de (</w:t>
      </w:r>
      <w:r>
        <w:rPr>
          <w:rFonts w:ascii="Verdana" w:hAnsi="Verdana"/>
          <w:b/>
          <w:bCs/>
          <w:sz w:val="20"/>
          <w:szCs w:val="20"/>
          <w:highlight w:val="white"/>
        </w:rPr>
        <w:t>seis entregas</w:t>
      </w:r>
      <w:r>
        <w:rPr>
          <w:rFonts w:ascii="Verdana" w:hAnsi="Verdana"/>
          <w:sz w:val="20"/>
          <w:szCs w:val="20"/>
          <w:highlight w:val="white"/>
        </w:rPr>
        <w:t xml:space="preserve">), uma por mês, de acordo com levantamento e em respeito ao cardápio escolar realizado pela nutricionista. </w:t>
      </w:r>
    </w:p>
    <w:p>
      <w:pPr>
        <w:pStyle w:val="Normal"/>
        <w:spacing w:lineRule="auto" w:line="240"/>
        <w:jc w:val="both"/>
        <w:rPr/>
      </w:pPr>
      <w:r>
        <w:rPr>
          <w:rFonts w:ascii="Verdana" w:hAnsi="Verdana"/>
          <w:b/>
          <w:bCs/>
          <w:sz w:val="20"/>
          <w:szCs w:val="20"/>
          <w:highlight w:val="white"/>
        </w:rPr>
        <w:t>b)</w:t>
      </w:r>
      <w:r>
        <w:rPr>
          <w:rFonts w:ascii="Verdana" w:hAnsi="Verdana"/>
          <w:sz w:val="20"/>
          <w:szCs w:val="20"/>
          <w:highlight w:val="white"/>
        </w:rPr>
        <w:t xml:space="preserve"> Não serão aceitas entregas parceladas em desacordo com o cronograma já anexado ao edital e posterior contrato, prejudicando assim a distribuição por escolas.</w:t>
      </w:r>
    </w:p>
    <w:p>
      <w:pPr>
        <w:pStyle w:val="Normal"/>
        <w:spacing w:lineRule="auto" w:line="240"/>
        <w:jc w:val="both"/>
        <w:rPr>
          <w:rFonts w:ascii="Verdana" w:hAnsi="Verdana"/>
          <w:b/>
          <w:sz w:val="20"/>
          <w:szCs w:val="20"/>
        </w:rPr>
      </w:pPr>
      <w:r>
        <w:rPr>
          <w:rFonts w:ascii="Verdana" w:hAnsi="Verdana"/>
          <w:b/>
          <w:sz w:val="20"/>
          <w:szCs w:val="20"/>
        </w:rPr>
      </w:r>
    </w:p>
    <w:p>
      <w:pPr>
        <w:pStyle w:val="Normal"/>
        <w:spacing w:lineRule="auto" w:line="240"/>
        <w:jc w:val="both"/>
        <w:rPr/>
      </w:pPr>
      <w:r>
        <w:rPr>
          <w:rFonts w:ascii="Verdana" w:hAnsi="Verdana"/>
          <w:b/>
          <w:sz w:val="20"/>
          <w:szCs w:val="20"/>
        </w:rPr>
        <w:t>7. ESTIMATIVA DA QUANTIDADE.</w:t>
      </w:r>
    </w:p>
    <w:p>
      <w:pPr>
        <w:pStyle w:val="Normal"/>
        <w:spacing w:lineRule="auto" w:line="240"/>
        <w:jc w:val="both"/>
        <w:rPr/>
      </w:pPr>
      <w:r>
        <w:rPr>
          <w:rFonts w:ascii="Verdana" w:hAnsi="Verdana"/>
          <w:b/>
          <w:sz w:val="20"/>
          <w:szCs w:val="20"/>
        </w:rPr>
        <w:t xml:space="preserve">7.1. </w:t>
      </w:r>
      <w:r>
        <w:rPr>
          <w:rFonts w:ascii="Verdana" w:hAnsi="Verdana"/>
          <w:sz w:val="20"/>
          <w:szCs w:val="20"/>
        </w:rPr>
        <w:t>A relação dos itens necessários para contemplar a solução, bem como a estimativa da quantidade a ser contratada é apresentada na tabela a seguir</w:t>
      </w:r>
      <w:r>
        <w:rPr>
          <w:rFonts w:ascii="Verdana" w:hAnsi="Verdana"/>
          <w:color w:val="000000"/>
          <w:sz w:val="20"/>
          <w:szCs w:val="20"/>
        </w:rPr>
        <w:t>.</w:t>
      </w:r>
    </w:p>
    <w:tbl>
      <w:tblPr>
        <w:tblStyle w:val="a"/>
        <w:tblpPr w:vertAnchor="text" w:horzAnchor="text" w:leftFromText="141" w:rightFromText="141" w:tblpX="-152" w:tblpY="0"/>
        <w:tblW w:w="10338" w:type="dxa"/>
        <w:jc w:val="left"/>
        <w:tblInd w:w="108" w:type="dxa"/>
        <w:tblLayout w:type="fixed"/>
        <w:tblCellMar>
          <w:top w:w="0" w:type="dxa"/>
          <w:left w:w="108" w:type="dxa"/>
          <w:bottom w:w="0" w:type="dxa"/>
          <w:right w:w="108" w:type="dxa"/>
        </w:tblCellMar>
        <w:tblLook w:firstRow="0" w:noVBand="1" w:lastRow="0" w:firstColumn="0" w:lastColumn="0" w:noHBand="0" w:val="0400"/>
      </w:tblPr>
      <w:tblGrid>
        <w:gridCol w:w="557"/>
        <w:gridCol w:w="6377"/>
        <w:gridCol w:w="851"/>
        <w:gridCol w:w="1134"/>
        <w:gridCol w:w="1419"/>
      </w:tblGrid>
      <w:tr>
        <w:trPr>
          <w:trHeight w:val="681" w:hRule="atLeast"/>
        </w:trPr>
        <w:tc>
          <w:tcPr>
            <w:tcW w:w="55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b/>
                <w:sz w:val="16"/>
                <w:szCs w:val="16"/>
              </w:rPr>
            </w:pPr>
            <w:r>
              <w:rPr>
                <w:rFonts w:eastAsia="Arial" w:cs="Arial" w:ascii="Arial" w:hAnsi="Arial"/>
                <w:b/>
                <w:sz w:val="16"/>
                <w:szCs w:val="16"/>
              </w:rPr>
              <w:t>Item</w:t>
            </w:r>
          </w:p>
        </w:tc>
        <w:tc>
          <w:tcPr>
            <w:tcW w:w="637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b/>
                <w:sz w:val="16"/>
                <w:szCs w:val="16"/>
              </w:rPr>
              <w:t>DESCRIÇÃO</w:t>
            </w:r>
          </w:p>
        </w:tc>
        <w:tc>
          <w:tcPr>
            <w:tcW w:w="851"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b/>
                <w:sz w:val="16"/>
                <w:szCs w:val="16"/>
              </w:rPr>
              <w:t>QTDE</w:t>
            </w:r>
          </w:p>
        </w:tc>
        <w:tc>
          <w:tcPr>
            <w:tcW w:w="1134"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ind w:left="80"/>
              <w:jc w:val="center"/>
              <w:rPr>
                <w:rFonts w:ascii="Arial" w:hAnsi="Arial" w:eastAsia="Arial" w:cs="Arial"/>
                <w:b/>
                <w:sz w:val="16"/>
                <w:szCs w:val="16"/>
              </w:rPr>
            </w:pPr>
            <w:r>
              <w:rPr>
                <w:rFonts w:eastAsia="Arial" w:cs="Arial" w:ascii="Arial" w:hAnsi="Arial"/>
                <w:b/>
                <w:sz w:val="16"/>
                <w:szCs w:val="16"/>
              </w:rPr>
              <w:t>Preço Unitário Estimativo</w:t>
            </w:r>
          </w:p>
        </w:tc>
        <w:tc>
          <w:tcPr>
            <w:tcW w:w="1419"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b/>
                <w:sz w:val="16"/>
                <w:szCs w:val="16"/>
              </w:rPr>
            </w:pPr>
            <w:r>
              <w:rPr>
                <w:rFonts w:eastAsia="Arial" w:cs="Arial" w:ascii="Arial" w:hAnsi="Arial"/>
                <w:b/>
                <w:sz w:val="16"/>
                <w:szCs w:val="16"/>
              </w:rPr>
              <w:t>Preço Total Estimado</w:t>
            </w:r>
          </w:p>
        </w:tc>
      </w:tr>
      <w:tr>
        <w:trPr>
          <w:trHeight w:val="269" w:hRule="atLeast"/>
        </w:trPr>
        <w:tc>
          <w:tcPr>
            <w:tcW w:w="55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01</w:t>
            </w:r>
          </w:p>
        </w:tc>
        <w:tc>
          <w:tcPr>
            <w:tcW w:w="637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both"/>
              <w:rPr>
                <w:rFonts w:ascii="Arial" w:hAnsi="Arial" w:eastAsia="Arial" w:cs="Arial"/>
                <w:sz w:val="18"/>
                <w:szCs w:val="18"/>
              </w:rPr>
            </w:pPr>
            <w:r>
              <w:rPr>
                <w:rFonts w:eastAsia="Arial" w:cs="Arial" w:ascii="Arial" w:hAnsi="Arial"/>
                <w:b/>
                <w:bCs/>
                <w:sz w:val="18"/>
                <w:szCs w:val="18"/>
              </w:rPr>
              <w:t>OVOS DE GALINHA</w:t>
            </w:r>
            <w:r>
              <w:rPr>
                <w:rFonts w:eastAsia="Arial" w:cs="Arial" w:ascii="Arial" w:hAnsi="Arial"/>
                <w:sz w:val="18"/>
                <w:szCs w:val="18"/>
              </w:rPr>
              <w:t xml:space="preserve"> - TIPO: BRANCO EXTRA; CLASSE A; FRESCOS DE CASCA POROSA, FOSCA, SECA E LIMPA, ÍNTEGRO, SEM MANCHAS E RACHADURAS; VALIDADE: MÍNIMO DE 15 DIAS A PARTIR DA DATA DE ENTREGA; LEGISLAÇÃO: CONFORME RESOLUÇÃO DO MINISTÉRIO DA AGRICULTURA Nº 1 DE 05/07/1991; ACONDICIONAMENTO: BANDEJA DE PAPELÃO; UNIDADE DE FORNECIMENTO: </w:t>
            </w:r>
            <w:r>
              <w:rPr>
                <w:rFonts w:eastAsia="Arial" w:cs="Arial" w:ascii="Arial" w:hAnsi="Arial"/>
                <w:b/>
                <w:bCs/>
                <w:sz w:val="18"/>
                <w:szCs w:val="18"/>
              </w:rPr>
              <w:t>CARTELA C/ 30 UND</w:t>
            </w:r>
            <w:r>
              <w:rPr>
                <w:rFonts w:eastAsia="Arial" w:cs="Arial" w:ascii="Arial" w:hAnsi="Arial"/>
                <w:sz w:val="18"/>
                <w:szCs w:val="18"/>
              </w:rPr>
              <w:t>.</w:t>
            </w:r>
          </w:p>
        </w:tc>
        <w:tc>
          <w:tcPr>
            <w:tcW w:w="851"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1572 Cartela</w:t>
            </w:r>
          </w:p>
        </w:tc>
        <w:tc>
          <w:tcPr>
            <w:tcW w:w="1134"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15,00</w:t>
            </w:r>
          </w:p>
        </w:tc>
        <w:tc>
          <w:tcPr>
            <w:tcW w:w="1419"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23.580,00</w:t>
            </w:r>
          </w:p>
        </w:tc>
      </w:tr>
      <w:tr>
        <w:trPr>
          <w:trHeight w:val="269" w:hRule="atLeast"/>
        </w:trPr>
        <w:tc>
          <w:tcPr>
            <w:tcW w:w="55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02</w:t>
            </w:r>
          </w:p>
        </w:tc>
        <w:tc>
          <w:tcPr>
            <w:tcW w:w="637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both"/>
              <w:rPr>
                <w:rFonts w:ascii="Arial" w:hAnsi="Arial" w:eastAsia="Arial" w:cs="Arial"/>
                <w:sz w:val="18"/>
                <w:szCs w:val="18"/>
              </w:rPr>
            </w:pPr>
            <w:r>
              <w:rPr>
                <w:rFonts w:eastAsia="Arial" w:cs="Arial" w:ascii="Arial" w:hAnsi="Arial"/>
                <w:b/>
                <w:bCs/>
                <w:sz w:val="18"/>
                <w:szCs w:val="18"/>
              </w:rPr>
              <w:t>CEBOLA</w:t>
            </w:r>
            <w:r>
              <w:rPr>
                <w:rFonts w:eastAsia="Arial" w:cs="Arial" w:ascii="Arial" w:hAnsi="Arial"/>
                <w:sz w:val="18"/>
                <w:szCs w:val="18"/>
              </w:rPr>
              <w:t xml:space="preserve"> - COR: BRANCA; APRESENTAÇÃO: IN NATURA; GRAU DE EVOLUÇÃO: BEM DESENVOLVIDA; QUALIDADE: DE 1ª QUALIDADE; CARACTERÍSTICAS FÍSICAS: TAMANHO, COLORAÇÃO UNIFORME, FIRME E INTACTO; ASPECTO: COR, CHEIRO E SABOR PRÓPRIO; HIGIÊNICO SANITÁRIAS: ISENTOS DE SUJIDADES, PARASITAS E LARVAS; DANIFICAÇÃO: SEM DANOS FÍSICOS ORIUNDOS DO MANUSEIO E TRANSPORTE; LEGISLAÇÃO: CONFORME PORTARIA CVS 06/99, DE 10/03/1999, CONFORME RESOLUÇÃO RDC272, DE 22/09/2005, DA ANVISA E SUAS ALTERAÇÕES POSTERIORES; ACONDICIONAMENTO: EMBALAGEM PLÁSTICA ATÓXICA COM ATÉ 2KG.</w:t>
            </w:r>
          </w:p>
        </w:tc>
        <w:tc>
          <w:tcPr>
            <w:tcW w:w="851"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1638 Kg</w:t>
            </w:r>
          </w:p>
        </w:tc>
        <w:tc>
          <w:tcPr>
            <w:tcW w:w="1134"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06,08</w:t>
            </w:r>
          </w:p>
        </w:tc>
        <w:tc>
          <w:tcPr>
            <w:tcW w:w="1419"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9.959,04</w:t>
            </w:r>
          </w:p>
        </w:tc>
      </w:tr>
      <w:tr>
        <w:trPr>
          <w:trHeight w:val="269" w:hRule="atLeast"/>
        </w:trPr>
        <w:tc>
          <w:tcPr>
            <w:tcW w:w="55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03</w:t>
            </w:r>
          </w:p>
          <w:p>
            <w:pPr>
              <w:pStyle w:val="Normal"/>
              <w:spacing w:lineRule="auto" w:line="360"/>
              <w:jc w:val="center"/>
              <w:rPr>
                <w:rFonts w:ascii="Arial" w:hAnsi="Arial" w:eastAsia="Arial" w:cs="Arial"/>
                <w:sz w:val="16"/>
                <w:szCs w:val="16"/>
                <w:highlight w:val="yellow"/>
              </w:rPr>
            </w:pPr>
            <w:r>
              <w:rPr>
                <w:rFonts w:eastAsia="Arial" w:cs="Arial" w:ascii="Arial" w:hAnsi="Arial"/>
                <w:sz w:val="16"/>
                <w:szCs w:val="16"/>
                <w:highlight w:val="yellow"/>
              </w:rPr>
            </w:r>
          </w:p>
        </w:tc>
        <w:tc>
          <w:tcPr>
            <w:tcW w:w="637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both"/>
              <w:rPr>
                <w:rFonts w:ascii="Arial" w:hAnsi="Arial" w:eastAsia="Arial" w:cs="Arial"/>
                <w:sz w:val="18"/>
                <w:szCs w:val="18"/>
              </w:rPr>
            </w:pPr>
            <w:r>
              <w:rPr>
                <w:rFonts w:eastAsia="Arial" w:cs="Arial" w:ascii="Arial" w:hAnsi="Arial"/>
                <w:b/>
                <w:bCs/>
                <w:sz w:val="18"/>
                <w:szCs w:val="18"/>
              </w:rPr>
              <w:t>BATATA INGLESA</w:t>
            </w:r>
            <w:r>
              <w:rPr>
                <w:rFonts w:eastAsia="Arial" w:cs="Arial" w:ascii="Arial" w:hAnsi="Arial"/>
                <w:sz w:val="18"/>
                <w:szCs w:val="18"/>
              </w:rPr>
              <w:t xml:space="preserve"> VARIEDADE: INGLESA; COR DA CASCA: AMARELA-CLARA; COR DA POLPA: AMARELA-CLARA; MATURAÇÃO: SEMIPRECOCE A SEMITARDIA; LAVADA; TAMANHO MÉDIO A GRANDE; DE 1ª QUALIDADE; CARACTERÍSTICAS FÍSICAS: COLORAÇÃO UNIFORME, FIRME E INTACTO; HIGIÊNICO SANITÁRIAS: ISENTOS DE SUJIDADES, PARASITAS E LARVAS; DANIFICAÇÃO: SEM DANOS FÍSICOS ORIUNDOS DO MANUSEIO E TRANSPORTE; LEGISLAÇÃO: CONFORME RESOLUÇÃO RDC 272, DE 22/09/2005, DA ANVISA E SUAS ALTERAÇÕES POSTERIORES; ACONDICIONAMENTO: SACO VAZADO; UNIDADE DE FORNECIMENTO:  ATÉ 4KG</w:t>
            </w:r>
          </w:p>
        </w:tc>
        <w:tc>
          <w:tcPr>
            <w:tcW w:w="851"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1.647 Kg</w:t>
            </w:r>
          </w:p>
        </w:tc>
        <w:tc>
          <w:tcPr>
            <w:tcW w:w="1134"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7,99</w:t>
            </w:r>
          </w:p>
        </w:tc>
        <w:tc>
          <w:tcPr>
            <w:tcW w:w="1419"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13.159,53</w:t>
            </w:r>
          </w:p>
        </w:tc>
      </w:tr>
      <w:tr>
        <w:trPr>
          <w:trHeight w:val="269" w:hRule="atLeast"/>
        </w:trPr>
        <w:tc>
          <w:tcPr>
            <w:tcW w:w="55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04</w:t>
            </w:r>
          </w:p>
        </w:tc>
        <w:tc>
          <w:tcPr>
            <w:tcW w:w="637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both"/>
              <w:rPr>
                <w:rFonts w:ascii="Arial" w:hAnsi="Arial" w:eastAsia="Arial" w:cs="Arial"/>
                <w:sz w:val="18"/>
                <w:szCs w:val="18"/>
              </w:rPr>
            </w:pPr>
            <w:r>
              <w:rPr>
                <w:rFonts w:eastAsia="Arial" w:cs="Arial" w:ascii="Arial" w:hAnsi="Arial"/>
                <w:b/>
                <w:bCs/>
                <w:sz w:val="18"/>
                <w:szCs w:val="18"/>
              </w:rPr>
              <w:t>ALHO</w:t>
            </w:r>
            <w:r>
              <w:rPr>
                <w:rFonts w:eastAsia="Arial" w:cs="Arial" w:ascii="Arial" w:hAnsi="Arial"/>
                <w:sz w:val="18"/>
                <w:szCs w:val="18"/>
              </w:rPr>
              <w:t xml:space="preserve"> - TIPO: EXTRA, BRANCO OU ROXO; GRAU DE EVOLUÇÃO: BEM DESENVOLVIDO; QUALIDADE: DE 1ª QUALIDADE; CARACTERÍSTICAS FÍSICAS: TAMANHO, COLORAÇÃO UNIFORME, FIRME, CASCA SÃ, SEM RÉSTIA, BULBO INTERIÇO; ASPECTO: COR, CHEIRO E SABOR PRÓPRIO; HIGIÊNICO SANITÁRIAS: ISENTOS DE SUJIDADES, PARASITAS E LARVAS;   UNIDADE DE FORNECIMENTO: EMBALAGEM PLÁSTICA ATÓXICA COM ATÉ 2KG.</w:t>
            </w:r>
          </w:p>
        </w:tc>
        <w:tc>
          <w:tcPr>
            <w:tcW w:w="851"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1308 Kg</w:t>
            </w:r>
          </w:p>
        </w:tc>
        <w:tc>
          <w:tcPr>
            <w:tcW w:w="1134"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25,41</w:t>
            </w:r>
          </w:p>
        </w:tc>
        <w:tc>
          <w:tcPr>
            <w:tcW w:w="1419"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33.236,28</w:t>
            </w:r>
          </w:p>
        </w:tc>
      </w:tr>
      <w:tr>
        <w:trPr>
          <w:trHeight w:val="269" w:hRule="atLeast"/>
        </w:trPr>
        <w:tc>
          <w:tcPr>
            <w:tcW w:w="55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05</w:t>
            </w:r>
          </w:p>
        </w:tc>
        <w:tc>
          <w:tcPr>
            <w:tcW w:w="637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both"/>
              <w:rPr>
                <w:rFonts w:ascii="Arial" w:hAnsi="Arial" w:eastAsia="Arial" w:cs="Arial"/>
                <w:sz w:val="18"/>
                <w:szCs w:val="18"/>
              </w:rPr>
            </w:pPr>
            <w:r>
              <w:rPr>
                <w:rFonts w:eastAsia="Arial" w:cs="Arial" w:ascii="Arial" w:hAnsi="Arial"/>
                <w:b/>
                <w:bCs/>
                <w:sz w:val="18"/>
                <w:szCs w:val="18"/>
              </w:rPr>
              <w:t>CARNE DE FRANGO (FILÉ DE PEITO),</w:t>
            </w:r>
            <w:r>
              <w:rPr>
                <w:rFonts w:eastAsia="Arial" w:cs="Arial" w:ascii="Arial" w:hAnsi="Arial"/>
                <w:sz w:val="18"/>
                <w:szCs w:val="18"/>
              </w:rPr>
              <w:t xml:space="preserve"> SEM PELE E SEM OSSO, SEM TEMPERO, NÃO AMOLECIDA NEM PEGAJOSA, CONGELADA A -12°C; COM ASPECTO, ODOR E SABOR CARACTERÍSTICOS; ACONDICIONADA EM BANDEJAS DE ISOPOR E SACO PLÁSTICO ATÓXICO E RESISTENTE, PESANDO 1KG. CONSTANDO OBRIGATORIAMENTE REGISTRO NO SIF/DIPOA E TODAS AS INFORMAÇÕES DE ROTULAGEM; DATA DE FABRICAÇÃO E VALIDADE; VALIDADE MÍNIMA DE 06 MESES APÓS A ENTREGA.</w:t>
            </w:r>
          </w:p>
        </w:tc>
        <w:tc>
          <w:tcPr>
            <w:tcW w:w="851"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8040 Kg</w:t>
            </w:r>
          </w:p>
        </w:tc>
        <w:tc>
          <w:tcPr>
            <w:tcW w:w="1134"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18,99</w:t>
            </w:r>
          </w:p>
        </w:tc>
        <w:tc>
          <w:tcPr>
            <w:tcW w:w="1419"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152.679,60</w:t>
            </w:r>
          </w:p>
        </w:tc>
      </w:tr>
      <w:tr>
        <w:trPr>
          <w:trHeight w:val="269" w:hRule="atLeast"/>
        </w:trPr>
        <w:tc>
          <w:tcPr>
            <w:tcW w:w="55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06</w:t>
            </w:r>
          </w:p>
        </w:tc>
        <w:tc>
          <w:tcPr>
            <w:tcW w:w="637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both"/>
              <w:rPr>
                <w:rFonts w:ascii="Arial" w:hAnsi="Arial" w:eastAsia="Arial" w:cs="Arial"/>
                <w:sz w:val="18"/>
                <w:szCs w:val="18"/>
              </w:rPr>
            </w:pPr>
            <w:r>
              <w:rPr>
                <w:rFonts w:eastAsia="Arial" w:cs="Arial" w:ascii="Arial" w:hAnsi="Arial"/>
                <w:b/>
                <w:bCs/>
                <w:sz w:val="18"/>
                <w:szCs w:val="18"/>
              </w:rPr>
              <w:t>CARNE BOVINA DE PRIMEIRA (PATINHO),</w:t>
            </w:r>
            <w:r>
              <w:rPr>
                <w:rFonts w:eastAsia="Arial" w:cs="Arial" w:ascii="Arial" w:hAnsi="Arial"/>
                <w:sz w:val="18"/>
                <w:szCs w:val="18"/>
              </w:rPr>
              <w:t xml:space="preserve"> LIMPA, CONTENDO EM TORNO DE 4 A 5% NO MÁXIMO DE GORDURA; SEM APONEVROSE; CONSERVAÇÃO: CONGELADA (-12°C); ASPECTO: COR, CHEIRO E SABOR PRÓPRIO; HIGIÊNICO SANITÁRIA: ISENTOS DE SUJIDADES, PARASITAS E LARVAS; LEGISLAÇÃO: CONFORME LEI 6.925, DE 17/12/2001; CONTENDO REGISTRO DE INSPEÇÃO; UNIDADE DE FORNECIMENTO: PACOTE DE 1  A 2 KG. VALIDADE MÍNIMA DE 06 MESES APÓS A ENTREGA.</w:t>
            </w:r>
          </w:p>
        </w:tc>
        <w:tc>
          <w:tcPr>
            <w:tcW w:w="851"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4620 Kg</w:t>
            </w:r>
          </w:p>
        </w:tc>
        <w:tc>
          <w:tcPr>
            <w:tcW w:w="1134"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39,90</w:t>
            </w:r>
          </w:p>
        </w:tc>
        <w:tc>
          <w:tcPr>
            <w:tcW w:w="1419"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184.338,00</w:t>
            </w:r>
          </w:p>
        </w:tc>
      </w:tr>
      <w:tr>
        <w:trPr>
          <w:trHeight w:val="269" w:hRule="atLeast"/>
        </w:trPr>
        <w:tc>
          <w:tcPr>
            <w:tcW w:w="55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07</w:t>
            </w:r>
          </w:p>
        </w:tc>
        <w:tc>
          <w:tcPr>
            <w:tcW w:w="637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both"/>
              <w:rPr>
                <w:rFonts w:ascii="Arial" w:hAnsi="Arial" w:eastAsia="Arial" w:cs="Arial"/>
                <w:sz w:val="18"/>
                <w:szCs w:val="18"/>
              </w:rPr>
            </w:pPr>
            <w:r>
              <w:rPr>
                <w:rFonts w:eastAsia="Arial" w:cs="Arial" w:ascii="Arial" w:hAnsi="Arial"/>
                <w:b/>
                <w:bCs/>
                <w:sz w:val="18"/>
                <w:szCs w:val="18"/>
              </w:rPr>
              <w:t>CARNE BOVINA MOÍDA - ACÉM BOVINO MOÍDO</w:t>
            </w:r>
            <w:r>
              <w:rPr>
                <w:rFonts w:eastAsia="Arial" w:cs="Arial" w:ascii="Arial" w:hAnsi="Arial"/>
                <w:sz w:val="18"/>
                <w:szCs w:val="18"/>
              </w:rPr>
              <w:t>, LIMPO, MAGRO (MÁXIMO DE 10% DE GORDURA), SEM OSSO, CONGELADO, COM COR, SABOR E ODOR CARACTERÍSTICOS DO PRODUTO DE BOA QUALIDADE, AUSÊNCIA DE SEBOS, ACONDICIONADO EM EMBALAGENS TRANSPARENTE E RESISTENTE, COM DENOMINAÇÃO DO NOME DO PRODUTO, FABRICANTE, ENDEREÇO, REGISTRO NO MINISTÉRIO DA AGRICULTURA (SIF, IMA OU SIM), DATA DE FABRICAÇÃO E VALIDADE.  UNIDADE DE FORNECIMENTO: PACOTE DE 1KG. VALIDADE MÍNIMA DE 06 MESES APÓS A ENTREGA.</w:t>
            </w:r>
          </w:p>
        </w:tc>
        <w:tc>
          <w:tcPr>
            <w:tcW w:w="851"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6420 Kg</w:t>
            </w:r>
          </w:p>
        </w:tc>
        <w:tc>
          <w:tcPr>
            <w:tcW w:w="1134"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45,90</w:t>
            </w:r>
          </w:p>
        </w:tc>
        <w:tc>
          <w:tcPr>
            <w:tcW w:w="1419"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294.678,00</w:t>
            </w:r>
          </w:p>
        </w:tc>
      </w:tr>
      <w:tr>
        <w:trPr>
          <w:trHeight w:val="269" w:hRule="atLeast"/>
        </w:trPr>
        <w:tc>
          <w:tcPr>
            <w:tcW w:w="55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08</w:t>
            </w:r>
          </w:p>
        </w:tc>
        <w:tc>
          <w:tcPr>
            <w:tcW w:w="637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both"/>
              <w:rPr>
                <w:rFonts w:ascii="Arial" w:hAnsi="Arial" w:eastAsia="Arial" w:cs="Arial"/>
                <w:sz w:val="18"/>
                <w:szCs w:val="18"/>
              </w:rPr>
            </w:pPr>
            <w:r>
              <w:rPr>
                <w:rFonts w:eastAsia="Arial" w:cs="Arial" w:ascii="Arial" w:hAnsi="Arial"/>
                <w:b/>
                <w:bCs/>
                <w:sz w:val="18"/>
                <w:szCs w:val="18"/>
              </w:rPr>
              <w:t>POLPA DE FRUTA NATURAL</w:t>
            </w:r>
            <w:r>
              <w:rPr>
                <w:rFonts w:eastAsia="Arial" w:cs="Arial" w:ascii="Arial" w:hAnsi="Arial"/>
                <w:sz w:val="18"/>
                <w:szCs w:val="18"/>
              </w:rPr>
              <w:t xml:space="preserve">, SABOR: </w:t>
            </w:r>
            <w:r>
              <w:rPr>
                <w:rFonts w:eastAsia="Arial" w:cs="Arial" w:ascii="Arial" w:hAnsi="Arial"/>
                <w:b/>
                <w:bCs/>
                <w:sz w:val="18"/>
                <w:szCs w:val="18"/>
              </w:rPr>
              <w:t>MANGA</w:t>
            </w:r>
            <w:r>
              <w:rPr>
                <w:rFonts w:eastAsia="Arial" w:cs="Arial" w:ascii="Arial" w:hAnsi="Arial"/>
                <w:sz w:val="18"/>
                <w:szCs w:val="18"/>
              </w:rPr>
              <w:t>, CONGELADA A - 18ºC. ISENTA DE CONTAMINAÇÃO COM SUBSTÂNCIAS ESTRANHAS A SUA COMPOSIÇÃO NORMAL, SEM FRAGMENTOS DAS PARTES NÃO COMESTÍVEIS DA FRUTA. EM EMBALAGEM DE 1KG COM IDENTIFICAÇÃO DO PRODUTO, MARCA DO FABRICANTE, DATA DE FABRICAÇÃO E PRAZO DE VALIDADE, DE ACORDO COM A RESOLUÇÃO 12/78 DA CNNPA. O PRODUTO DEVERÁ TER REGISTRO NO MINISTÉRIO DA AGRICULTURA E/OU MINISTÉRIO DA SAÚDE. VALIDADE MÍNIMA DE 06 MESES APÓS A ENTREGA.1530</w:t>
            </w:r>
          </w:p>
        </w:tc>
        <w:tc>
          <w:tcPr>
            <w:tcW w:w="851"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1980 Kg</w:t>
            </w:r>
          </w:p>
        </w:tc>
        <w:tc>
          <w:tcPr>
            <w:tcW w:w="1134"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15,00</w:t>
            </w:r>
          </w:p>
        </w:tc>
        <w:tc>
          <w:tcPr>
            <w:tcW w:w="1419"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29.700,00</w:t>
            </w:r>
          </w:p>
        </w:tc>
      </w:tr>
      <w:tr>
        <w:trPr>
          <w:trHeight w:val="269" w:hRule="atLeast"/>
        </w:trPr>
        <w:tc>
          <w:tcPr>
            <w:tcW w:w="55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09</w:t>
            </w:r>
          </w:p>
        </w:tc>
        <w:tc>
          <w:tcPr>
            <w:tcW w:w="637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both"/>
              <w:rPr>
                <w:rFonts w:ascii="Arial" w:hAnsi="Arial" w:eastAsia="Arial" w:cs="Arial"/>
                <w:sz w:val="18"/>
                <w:szCs w:val="18"/>
              </w:rPr>
            </w:pPr>
            <w:r>
              <w:rPr>
                <w:rFonts w:eastAsia="Arial" w:cs="Arial" w:ascii="Arial" w:hAnsi="Arial"/>
                <w:b/>
                <w:bCs/>
                <w:sz w:val="18"/>
                <w:szCs w:val="18"/>
              </w:rPr>
              <w:t>POLPA DE FRUTA NATURAL</w:t>
            </w:r>
            <w:r>
              <w:rPr>
                <w:rFonts w:eastAsia="Arial" w:cs="Arial" w:ascii="Arial" w:hAnsi="Arial"/>
                <w:sz w:val="18"/>
                <w:szCs w:val="18"/>
              </w:rPr>
              <w:t xml:space="preserve">, SABOR: </w:t>
            </w:r>
            <w:r>
              <w:rPr>
                <w:rFonts w:eastAsia="Arial" w:cs="Arial" w:ascii="Arial" w:hAnsi="Arial"/>
                <w:b/>
                <w:bCs/>
                <w:sz w:val="18"/>
                <w:szCs w:val="18"/>
              </w:rPr>
              <w:t>GOIABA</w:t>
            </w:r>
            <w:r>
              <w:rPr>
                <w:rFonts w:eastAsia="Arial" w:cs="Arial" w:ascii="Arial" w:hAnsi="Arial"/>
                <w:sz w:val="18"/>
                <w:szCs w:val="18"/>
              </w:rPr>
              <w:t>, CONGELADA A - 18ºC. ISENTA DE CONTAMINAÇÃO COM SUBSTANCIAS ESTRANHAS A SUA COMPOSIÇÃO NORMAL, SEM FRAGMENTOS DAS PARTES NÃO COMESTÍVEIS DA FRUTA. EM EMBALAGEM DE 1KG COM IDENTIFICAÇÃO DO PRODUTO, MARCA DO FABRICANTE, DATA DE FABRICAÇÃO E PRAZO DE VALIDADE, DE ACORDO COM A RESOLUÇÃO 12/78 DA CNNPA. O PRODUTO DEVERÁ TER REGISTRO NO MINISTÉRIO DA AGRICULTURA E/OU MINISTÉRIO DA SAÚDE. VALIDADE MÍNIMA DE 06 MESES APÓS A ENTREGA.</w:t>
            </w:r>
          </w:p>
        </w:tc>
        <w:tc>
          <w:tcPr>
            <w:tcW w:w="851"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1980 Kg</w:t>
            </w:r>
          </w:p>
        </w:tc>
        <w:tc>
          <w:tcPr>
            <w:tcW w:w="1134"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12,00</w:t>
            </w:r>
          </w:p>
        </w:tc>
        <w:tc>
          <w:tcPr>
            <w:tcW w:w="1419"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23.760,00</w:t>
            </w:r>
          </w:p>
        </w:tc>
      </w:tr>
      <w:tr>
        <w:trPr>
          <w:trHeight w:val="269" w:hRule="atLeast"/>
        </w:trPr>
        <w:tc>
          <w:tcPr>
            <w:tcW w:w="55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10</w:t>
            </w:r>
          </w:p>
        </w:tc>
        <w:tc>
          <w:tcPr>
            <w:tcW w:w="637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both"/>
              <w:rPr>
                <w:rFonts w:ascii="Arial" w:hAnsi="Arial" w:eastAsia="Arial" w:cs="Arial"/>
                <w:sz w:val="18"/>
                <w:szCs w:val="18"/>
              </w:rPr>
            </w:pPr>
            <w:r>
              <w:rPr>
                <w:rFonts w:eastAsia="Arial" w:cs="Arial" w:ascii="Arial" w:hAnsi="Arial"/>
                <w:b/>
                <w:bCs/>
                <w:sz w:val="18"/>
                <w:szCs w:val="18"/>
              </w:rPr>
              <w:t>REQUEIJÃO CREMOSO</w:t>
            </w:r>
            <w:r>
              <w:rPr>
                <w:rFonts w:eastAsia="Arial" w:cs="Arial" w:ascii="Arial" w:hAnsi="Arial"/>
                <w:sz w:val="18"/>
                <w:szCs w:val="18"/>
              </w:rPr>
              <w:t xml:space="preserve"> DE BOA QUALIDADE, ISENTO DE RANÇO E OUTRAS CARACTERÍSTICAS INDESEJAVEIS; TEXTURA CREMOSA, COR, CHEIRO E SABOR CARACTERÍSTICOS.O PRODUTO DEVE SER CLASSIFICADO COMO PROCESSADO E NÃO ULTRAPROCESSADO; NÃO DEVE CONTER MAIS DE 165MG DE SÓDIO POR PORÇÃO. O PRODUTO DEVERÁ ESTAR DE ACORDO COM A PORTARIA Nº359 DE 04/09/1997 DO MAPA E RESOLUÇÃO FNDE Nº 26 DE 17/06/13. CONSTANDO OBRIGATORIAMENTE REGISTRO NO SIF/DIPOA. DEVERÁ SER TRANSPORTADO E ENTREGUE À TEMPERATURA ENTRE 04 E 10°C. EMBALAGEM PRIMÁRIA: COPO PLÁSTICO DE POLIPROPILENO, ATÓXICO, COM LACRE DE PROTEÇÃO DE ALUMÍNIO, CONTENDO NO MÍNIMO 400 GRAMAS.  VALIDADE MÍNIMA DE 3 MESES APÓS A ENTREGA. LEITE PARCIALMENTE DESNATADO, CREME DE LEITE  PASTEURIZADO, AMIDO MODIFICADO E PROTEÍNAS LÁCTEAS, CLORETO DE SÓDIO (SAL), FERMENTO LÁCTEO, ESTABILIZANTE CITRATO DE SÓDIO  E FOSFATO DE SÓDIO E CONSERVANTE SORBATO DE POTÁSSIO.</w:t>
            </w:r>
          </w:p>
          <w:p>
            <w:pPr>
              <w:pStyle w:val="Normal"/>
              <w:jc w:val="both"/>
              <w:rPr>
                <w:rFonts w:ascii="Arial" w:hAnsi="Arial" w:eastAsia="Arial" w:cs="Arial"/>
                <w:sz w:val="18"/>
                <w:szCs w:val="18"/>
              </w:rPr>
            </w:pPr>
            <w:r>
              <w:rPr>
                <w:rFonts w:eastAsia="Arial" w:cs="Arial" w:ascii="Arial" w:hAnsi="Arial"/>
                <w:sz w:val="18"/>
                <w:szCs w:val="18"/>
              </w:rPr>
              <w:t>MARCAS PARA REFERÊNCIA DE QUALIDADE: DAMARE, PORTO ALEGRE, VIGOR OU SIMILARES.</w:t>
            </w:r>
          </w:p>
        </w:tc>
        <w:tc>
          <w:tcPr>
            <w:tcW w:w="851"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1668 Potes</w:t>
            </w:r>
          </w:p>
        </w:tc>
        <w:tc>
          <w:tcPr>
            <w:tcW w:w="1134"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13,64</w:t>
            </w:r>
          </w:p>
        </w:tc>
        <w:tc>
          <w:tcPr>
            <w:tcW w:w="1419"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22.751,52</w:t>
            </w:r>
          </w:p>
        </w:tc>
      </w:tr>
      <w:tr>
        <w:trPr>
          <w:trHeight w:val="269" w:hRule="atLeast"/>
        </w:trPr>
        <w:tc>
          <w:tcPr>
            <w:tcW w:w="55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11</w:t>
            </w:r>
          </w:p>
        </w:tc>
        <w:tc>
          <w:tcPr>
            <w:tcW w:w="637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both"/>
              <w:rPr>
                <w:rFonts w:ascii="Arial" w:hAnsi="Arial" w:eastAsia="Arial" w:cs="Arial"/>
                <w:sz w:val="18"/>
                <w:szCs w:val="18"/>
              </w:rPr>
            </w:pPr>
            <w:r>
              <w:rPr>
                <w:rFonts w:eastAsia="Arial" w:cs="Arial" w:ascii="Arial" w:hAnsi="Arial"/>
                <w:b/>
                <w:bCs/>
                <w:sz w:val="18"/>
                <w:szCs w:val="18"/>
              </w:rPr>
              <w:t>LEITE EM PÓ SEM LACTOSE</w:t>
            </w:r>
            <w:r>
              <w:rPr>
                <w:rFonts w:eastAsia="Arial" w:cs="Arial" w:ascii="Arial" w:hAnsi="Arial"/>
                <w:sz w:val="18"/>
                <w:szCs w:val="18"/>
              </w:rPr>
              <w:t>, COMPOSTO POR: LEITE INTEGRAL, ENZIMA LACTASE, VITAMINAS A, C e D. EMULSIFICANTE LECITINA DE SOJA, ISENTO DE MALTODEXTRINA PARA DIETAS COM RESTRIÇÃO A LACTOSE, EMBALAGEM: PACOTE COM 300G, VALIDADE DE 06 MESES APÓS A DATA DE ENTREGA.</w:t>
            </w:r>
          </w:p>
          <w:p>
            <w:pPr>
              <w:pStyle w:val="Normal"/>
              <w:jc w:val="both"/>
              <w:rPr>
                <w:rFonts w:ascii="Arial" w:hAnsi="Arial" w:eastAsia="Arial" w:cs="Arial"/>
                <w:sz w:val="18"/>
                <w:szCs w:val="18"/>
              </w:rPr>
            </w:pPr>
            <w:r>
              <w:rPr>
                <w:rFonts w:eastAsia="Arial" w:cs="Arial" w:ascii="Arial" w:hAnsi="Arial"/>
                <w:sz w:val="18"/>
                <w:szCs w:val="18"/>
              </w:rPr>
              <w:t>MARCAS PARA REFERÊNCIA DE QUALIDADE:  ITAMBÉ, CAMPONESA, DANBY, PIRACANJUBA OU SIMILARES.</w:t>
            </w:r>
          </w:p>
        </w:tc>
        <w:tc>
          <w:tcPr>
            <w:tcW w:w="851"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100 Uni</w:t>
            </w:r>
          </w:p>
        </w:tc>
        <w:tc>
          <w:tcPr>
            <w:tcW w:w="1134"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22,85</w:t>
            </w:r>
          </w:p>
        </w:tc>
        <w:tc>
          <w:tcPr>
            <w:tcW w:w="1419"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2.285,00</w:t>
            </w:r>
          </w:p>
        </w:tc>
      </w:tr>
      <w:tr>
        <w:trPr>
          <w:trHeight w:val="269" w:hRule="atLeast"/>
        </w:trPr>
        <w:tc>
          <w:tcPr>
            <w:tcW w:w="55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rPr>
                <w:rFonts w:ascii="Arial" w:hAnsi="Arial" w:eastAsia="Arial" w:cs="Arial"/>
                <w:sz w:val="16"/>
                <w:szCs w:val="16"/>
              </w:rPr>
            </w:pPr>
            <w:r>
              <w:rPr>
                <w:rFonts w:eastAsia="Arial" w:cs="Arial" w:ascii="Arial" w:hAnsi="Arial"/>
                <w:sz w:val="16"/>
                <w:szCs w:val="16"/>
              </w:rPr>
              <w:t>12</w:t>
            </w:r>
          </w:p>
        </w:tc>
        <w:tc>
          <w:tcPr>
            <w:tcW w:w="6377" w:type="dxa"/>
            <w:tcBorders>
              <w:top w:val="single" w:sz="8" w:space="0" w:color="000000"/>
              <w:left w:val="single" w:sz="8" w:space="0" w:color="000000"/>
              <w:bottom w:val="single" w:sz="8" w:space="0" w:color="000000"/>
              <w:right w:val="single" w:sz="8" w:space="0" w:color="000000"/>
            </w:tcBorders>
            <w:shd w:color="auto" w:fill="FFFFFF" w:val="clear"/>
          </w:tcPr>
          <w:p>
            <w:pPr>
              <w:pStyle w:val="Normal"/>
              <w:widowControl w:val="false"/>
              <w:jc w:val="both"/>
              <w:rPr>
                <w:rFonts w:ascii="Arial" w:hAnsi="Arial" w:eastAsia="Arial" w:cs="Arial"/>
                <w:sz w:val="18"/>
                <w:szCs w:val="18"/>
              </w:rPr>
            </w:pPr>
            <w:r>
              <w:rPr>
                <w:rFonts w:eastAsia="Arial" w:cs="Arial" w:ascii="Arial" w:hAnsi="Arial"/>
                <w:b/>
                <w:bCs/>
                <w:sz w:val="18"/>
                <w:szCs w:val="18"/>
              </w:rPr>
              <w:t>LEITE DE SOJA SEM LACTOSE</w:t>
            </w:r>
            <w:r>
              <w:rPr>
                <w:rFonts w:eastAsia="Arial" w:cs="Arial" w:ascii="Arial" w:hAnsi="Arial"/>
                <w:sz w:val="18"/>
                <w:szCs w:val="18"/>
              </w:rPr>
              <w:t xml:space="preserve"> COMPOSIÇÃO:</w:t>
            </w:r>
          </w:p>
          <w:p>
            <w:pPr>
              <w:pStyle w:val="Normal"/>
              <w:widowControl w:val="false"/>
              <w:jc w:val="both"/>
              <w:rPr>
                <w:rFonts w:ascii="Arial" w:hAnsi="Arial" w:eastAsia="Arial" w:cs="Arial"/>
                <w:sz w:val="18"/>
                <w:szCs w:val="18"/>
              </w:rPr>
            </w:pPr>
            <w:r>
              <w:rPr>
                <w:rFonts w:eastAsia="Arial" w:cs="Arial" w:ascii="Arial" w:hAnsi="Arial"/>
                <w:sz w:val="18"/>
                <w:szCs w:val="18"/>
              </w:rPr>
              <w:t>MISTURA À BASE DE PROTEÍNA ISOLADA DE SOJA (PROTEÍNA ISOLADA DE SOJA, ÓLEO DE PALMA, XAROPE DE MILHO, AÇÚCAR, FOSFATO DE CÁLCIO, CITRATO DE POTÁSSIO, FOSFATO DE POTÁSSIO DIBÁSICO, SAL, FOSFATO DE MAGNÉSIO, ÁCIDO ASCÓRBICO, ÓXIDO DE ZINCO, PIROFOSFATO FÉRRICO, PANTOTENATO DE CÁLCIO, RIBOFLAVINA, VITAMINA A, NIACINAMIDA, VITAMINA B6, MONONITRATO DE TIAMINA, IODETO DE POTÁSSIO, ÁCIDO FÓLICO, VITAMINA D, VITAMINA B12, EMULSIFICANTES LECITINA E MONO E DIGLICERÍDEOS DE ÁCIDOS GRAXOS, AROMATIZANTE E CORANTE NATURAL BETACAROTENO), AÇÚCAR, MALTODEXTRINA E AROMA IDÊNTICO AO NATURAL DE BAUNILHA. EMBALAGEM: LATA DE 300G.  VALIDADE MÍNIMA DE 06 MESES APÓS A ENTREGA.</w:t>
            </w:r>
          </w:p>
        </w:tc>
        <w:tc>
          <w:tcPr>
            <w:tcW w:w="851"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80 Lata</w:t>
            </w:r>
          </w:p>
        </w:tc>
        <w:tc>
          <w:tcPr>
            <w:tcW w:w="1134"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49,99</w:t>
            </w:r>
          </w:p>
        </w:tc>
        <w:tc>
          <w:tcPr>
            <w:tcW w:w="1419"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3.999,20</w:t>
            </w:r>
          </w:p>
        </w:tc>
      </w:tr>
      <w:tr>
        <w:trPr>
          <w:trHeight w:val="269" w:hRule="atLeast"/>
        </w:trPr>
        <w:tc>
          <w:tcPr>
            <w:tcW w:w="55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rPr>
                <w:rFonts w:ascii="Arial" w:hAnsi="Arial" w:eastAsia="Arial" w:cs="Arial"/>
                <w:sz w:val="16"/>
                <w:szCs w:val="16"/>
              </w:rPr>
            </w:pPr>
            <w:r>
              <w:rPr>
                <w:rFonts w:eastAsia="Arial" w:cs="Arial" w:ascii="Arial" w:hAnsi="Arial"/>
                <w:sz w:val="16"/>
                <w:szCs w:val="16"/>
              </w:rPr>
              <w:t>13</w:t>
            </w:r>
          </w:p>
        </w:tc>
        <w:tc>
          <w:tcPr>
            <w:tcW w:w="6377" w:type="dxa"/>
            <w:tcBorders>
              <w:top w:val="single" w:sz="8" w:space="0" w:color="000000"/>
              <w:left w:val="single" w:sz="8" w:space="0" w:color="000000"/>
              <w:bottom w:val="single" w:sz="8" w:space="0" w:color="000000"/>
              <w:right w:val="single" w:sz="8" w:space="0" w:color="000000"/>
            </w:tcBorders>
            <w:shd w:color="auto" w:fill="FFFFFF" w:val="clear"/>
          </w:tcPr>
          <w:p>
            <w:pPr>
              <w:pStyle w:val="Normal"/>
              <w:widowControl w:val="false"/>
              <w:jc w:val="both"/>
              <w:rPr>
                <w:rFonts w:ascii="Arial" w:hAnsi="Arial" w:eastAsia="Arial" w:cs="Arial"/>
                <w:sz w:val="18"/>
                <w:szCs w:val="18"/>
              </w:rPr>
            </w:pPr>
            <w:r>
              <w:rPr>
                <w:rFonts w:eastAsia="Arial" w:cs="Arial" w:ascii="Arial" w:hAnsi="Arial"/>
                <w:b/>
                <w:bCs/>
                <w:sz w:val="18"/>
                <w:szCs w:val="18"/>
              </w:rPr>
              <w:t>LEITE EM PÓ INTEGRAL</w:t>
            </w:r>
            <w:r>
              <w:rPr>
                <w:rFonts w:eastAsia="Arial" w:cs="Arial" w:ascii="Arial" w:hAnsi="Arial"/>
                <w:sz w:val="18"/>
                <w:szCs w:val="18"/>
              </w:rPr>
              <w:t xml:space="preserve"> INSTANTÂNEO DE ÓTIMA QUALIDADE; SEM AÇÚCAR; INGREDIENTES: LEITE INTEGRAL EM PÓ E LECITINA DE SOJA; CHEIRO, SABOR E TEXTURA CARACTERÍSTICOS AGRADÁVEIS. EM ACORDO COM AS ESPECIFICAÇÕES TÉCNICAS DA PORTARIA 369/1997 DO MAPA. EMBALAGEM DE 400G, ATÓXICA, RESISTENTE, NÃO VIOLADA ORIGINAL DO FABRICANTE.VALIDADE MÍNIMA DE 8 MESES APÓS A ENTREGA.</w:t>
            </w:r>
          </w:p>
          <w:p>
            <w:pPr>
              <w:pStyle w:val="Normal"/>
              <w:widowControl w:val="false"/>
              <w:jc w:val="both"/>
              <w:rPr>
                <w:rFonts w:ascii="Arial" w:hAnsi="Arial" w:eastAsia="Arial" w:cs="Arial"/>
                <w:sz w:val="18"/>
                <w:szCs w:val="18"/>
              </w:rPr>
            </w:pPr>
            <w:r>
              <w:rPr>
                <w:rFonts w:eastAsia="Arial" w:cs="Arial" w:ascii="Arial" w:hAnsi="Arial"/>
                <w:sz w:val="18"/>
                <w:szCs w:val="18"/>
              </w:rPr>
              <w:t>MARCAS PARA REFERÊNCIA DE QUALIDADE: CAMPONESA, ITAMBÉ, PIRACANJUBA OU SIMILAR.</w:t>
            </w:r>
          </w:p>
        </w:tc>
        <w:tc>
          <w:tcPr>
            <w:tcW w:w="851"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3000 Pct</w:t>
            </w:r>
          </w:p>
        </w:tc>
        <w:tc>
          <w:tcPr>
            <w:tcW w:w="1134"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11,00</w:t>
            </w:r>
          </w:p>
        </w:tc>
        <w:tc>
          <w:tcPr>
            <w:tcW w:w="1419"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33.000,00</w:t>
            </w:r>
          </w:p>
        </w:tc>
      </w:tr>
      <w:tr>
        <w:trPr>
          <w:trHeight w:val="269" w:hRule="atLeast"/>
        </w:trPr>
        <w:tc>
          <w:tcPr>
            <w:tcW w:w="55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14</w:t>
            </w:r>
          </w:p>
        </w:tc>
        <w:tc>
          <w:tcPr>
            <w:tcW w:w="6377" w:type="dxa"/>
            <w:tcBorders>
              <w:top w:val="single" w:sz="8" w:space="0" w:color="000000"/>
              <w:left w:val="single" w:sz="8" w:space="0" w:color="000000"/>
              <w:bottom w:val="single" w:sz="8" w:space="0" w:color="000000"/>
              <w:right w:val="single" w:sz="8" w:space="0" w:color="000000"/>
            </w:tcBorders>
            <w:shd w:color="auto" w:fill="FFFFFF" w:val="clear"/>
          </w:tcPr>
          <w:p>
            <w:pPr>
              <w:pStyle w:val="Normal"/>
              <w:widowControl w:val="false"/>
              <w:jc w:val="both"/>
              <w:rPr>
                <w:rFonts w:ascii="Arial" w:hAnsi="Arial" w:eastAsia="Arial" w:cs="Arial"/>
                <w:sz w:val="18"/>
                <w:szCs w:val="18"/>
              </w:rPr>
            </w:pPr>
            <w:r>
              <w:rPr>
                <w:rFonts w:eastAsia="Arial" w:cs="Arial" w:ascii="Arial" w:hAnsi="Arial"/>
                <w:b/>
                <w:bCs/>
                <w:sz w:val="18"/>
                <w:szCs w:val="18"/>
              </w:rPr>
              <w:t>CANJIQUINHA DE MILHO</w:t>
            </w:r>
            <w:r>
              <w:rPr>
                <w:rFonts w:eastAsia="Arial" w:cs="Arial" w:ascii="Arial" w:hAnsi="Arial"/>
                <w:sz w:val="18"/>
                <w:szCs w:val="18"/>
              </w:rPr>
              <w:t>, FINO A MÉDIO, SUBPRODUTO DO GRÃO DE MILHO, ISENTO DE UMIDADE E FRAGMENTOS ESTRANHOS, EM EMBALAGEM DE POLIETILENO TRANSPARENTE ORIGINAL DO FABRICANTE EM PCT DE ATÉ 01KG. VALIDADE MÍNIMA DE 4 MESES APÓS A ENTREGA.</w:t>
            </w:r>
          </w:p>
        </w:tc>
        <w:tc>
          <w:tcPr>
            <w:tcW w:w="851"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1200 Kg</w:t>
            </w:r>
          </w:p>
        </w:tc>
        <w:tc>
          <w:tcPr>
            <w:tcW w:w="1134"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5,88</w:t>
            </w:r>
          </w:p>
        </w:tc>
        <w:tc>
          <w:tcPr>
            <w:tcW w:w="1419"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7.056,00</w:t>
            </w:r>
          </w:p>
        </w:tc>
      </w:tr>
      <w:tr>
        <w:trPr>
          <w:trHeight w:val="269" w:hRule="atLeast"/>
        </w:trPr>
        <w:tc>
          <w:tcPr>
            <w:tcW w:w="55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15</w:t>
            </w:r>
          </w:p>
        </w:tc>
        <w:tc>
          <w:tcPr>
            <w:tcW w:w="6377" w:type="dxa"/>
            <w:tcBorders>
              <w:top w:val="single" w:sz="8" w:space="0" w:color="000000"/>
              <w:left w:val="single" w:sz="8" w:space="0" w:color="000000"/>
              <w:bottom w:val="single" w:sz="8" w:space="0" w:color="000000"/>
              <w:right w:val="single" w:sz="8" w:space="0" w:color="000000"/>
            </w:tcBorders>
            <w:shd w:color="auto" w:fill="FFFFFF" w:val="clear"/>
          </w:tcPr>
          <w:p>
            <w:pPr>
              <w:pStyle w:val="Normal"/>
              <w:widowControl w:val="false"/>
              <w:jc w:val="both"/>
              <w:rPr>
                <w:rFonts w:ascii="Arial" w:hAnsi="Arial" w:eastAsia="Arial" w:cs="Arial"/>
                <w:sz w:val="18"/>
                <w:szCs w:val="18"/>
              </w:rPr>
            </w:pPr>
            <w:r>
              <w:rPr>
                <w:rFonts w:eastAsia="Arial" w:cs="Arial" w:ascii="Arial" w:hAnsi="Arial"/>
                <w:b/>
                <w:bCs/>
                <w:sz w:val="18"/>
                <w:szCs w:val="18"/>
              </w:rPr>
              <w:t>FERMENTO QUÍMICO EM PÓ</w:t>
            </w:r>
            <w:r>
              <w:rPr>
                <w:rFonts w:eastAsia="Arial" w:cs="Arial" w:ascii="Arial" w:hAnsi="Arial"/>
                <w:sz w:val="18"/>
                <w:szCs w:val="18"/>
              </w:rPr>
              <w:t xml:space="preserve"> ASPECTO, COR, CHEIRO E SABOR PRÓPRIOS. O PRODUTO DEVERÁ ESTAR EM CONFORMIDADE COM AS LEIS ESPECIFICAS VIGENTES. INGREDIENTES: AMIDO DE MILHO GENETICAMENTE MODIFICADO (ESPÉCIES DOADORAS: AGROBACTERIUM TUMEFACIENS, BACILLUS THURINGIENSIS, SPHINGOBIUM HERBICIDOROVANS, STREPTOMYCES VIRIDOCHROMOGENES E ZEA MAYS), BICARBONATO DE SÓDIO, FOSFATO MONOCALCICO E CARBONATO DE CÁLCIO. A ROTULAGEM DEVE CONTER NO MÍNIMO AS SEGUINTES INFORMAÇÕES: NOME E/OU MARCA, INGREDIENTES, DATA DE VALIDADE, LOTE. COM REGISTRO NO MINISTÉRIO DA AGRICULTURA – SIF. PARA MELHOR SEGURANÇA E CONSERVAÇÃO, ABAIXO DA TAMPA DA EMBALAGEM DEVE TER O LACRE E PROTEÇÃO DE PAPEL E ALUMÍNIO.  ACONDICIONADO EM EMBALAGEM DE 250G.  VALIDADE: MÍNIMO DE 6 MESES A PARTIR DA DATA DE ENTREGA.</w:t>
            </w:r>
          </w:p>
          <w:p>
            <w:pPr>
              <w:pStyle w:val="Normal"/>
              <w:widowControl w:val="false"/>
              <w:jc w:val="both"/>
              <w:rPr>
                <w:rFonts w:ascii="Arial" w:hAnsi="Arial" w:eastAsia="Arial" w:cs="Arial"/>
                <w:sz w:val="18"/>
                <w:szCs w:val="18"/>
              </w:rPr>
            </w:pPr>
            <w:r>
              <w:rPr>
                <w:rFonts w:eastAsia="Arial" w:cs="Arial" w:ascii="Arial" w:hAnsi="Arial"/>
                <w:sz w:val="18"/>
                <w:szCs w:val="18"/>
              </w:rPr>
              <w:t>MARCAS PARA REFERÊNCIA DE QUALIDADE: ROYAL, FREISCHMAN E OU SIMILARES.</w:t>
            </w:r>
          </w:p>
        </w:tc>
        <w:tc>
          <w:tcPr>
            <w:tcW w:w="851"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300 UN</w:t>
            </w:r>
          </w:p>
        </w:tc>
        <w:tc>
          <w:tcPr>
            <w:tcW w:w="1134"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13,70</w:t>
            </w:r>
          </w:p>
        </w:tc>
        <w:tc>
          <w:tcPr>
            <w:tcW w:w="1419"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4.110,00</w:t>
            </w:r>
          </w:p>
        </w:tc>
      </w:tr>
      <w:tr>
        <w:trPr>
          <w:trHeight w:val="269" w:hRule="atLeast"/>
        </w:trPr>
        <w:tc>
          <w:tcPr>
            <w:tcW w:w="55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16</w:t>
            </w:r>
          </w:p>
        </w:tc>
        <w:tc>
          <w:tcPr>
            <w:tcW w:w="6377" w:type="dxa"/>
            <w:tcBorders>
              <w:top w:val="single" w:sz="8" w:space="0" w:color="000000"/>
              <w:left w:val="single" w:sz="8" w:space="0" w:color="000000"/>
              <w:bottom w:val="single" w:sz="8" w:space="0" w:color="000000"/>
              <w:right w:val="single" w:sz="8" w:space="0" w:color="000000"/>
            </w:tcBorders>
            <w:shd w:color="auto" w:fill="FFFFFF" w:val="clear"/>
          </w:tcPr>
          <w:p>
            <w:pPr>
              <w:pStyle w:val="Normal"/>
              <w:widowControl w:val="false"/>
              <w:jc w:val="both"/>
              <w:rPr>
                <w:rFonts w:ascii="Arial" w:hAnsi="Arial" w:eastAsia="Arial" w:cs="Arial"/>
                <w:sz w:val="18"/>
                <w:szCs w:val="18"/>
              </w:rPr>
            </w:pPr>
            <w:r>
              <w:rPr>
                <w:rFonts w:eastAsia="Arial" w:cs="Arial" w:ascii="Arial" w:hAnsi="Arial"/>
                <w:b/>
                <w:bCs/>
                <w:sz w:val="18"/>
                <w:szCs w:val="18"/>
              </w:rPr>
              <w:t>FERMENTO BIOLÓGICO SECO</w:t>
            </w:r>
            <w:r>
              <w:rPr>
                <w:rFonts w:eastAsia="Arial" w:cs="Arial" w:ascii="Arial" w:hAnsi="Arial"/>
                <w:sz w:val="18"/>
                <w:szCs w:val="18"/>
              </w:rPr>
              <w:t xml:space="preserve">, INSTANTÂNEO, OBTIDO DE CULTURAS PURAS DE LEVEDURA SACCHAROMYCES CEREVISIAS, ISENTO DE SUBSTÂNCIAS ESTRANHAS À COMPOSIÇÃO; CARACTERÍSTICAS ORGANOLETICAS: ASPECTO – PRÓPRIO; COR - PRÓPRIA; CHEIRO – PRÓPRIO; SABOR - PRÓPRIO. O PRODUTO DEVERÁ ESTAR EM CONFORMIDADE COM AS LEIS ESPECIFICAS VIGENTES. ACONDICIONADO EM EMBALAGEM DE </w:t>
            </w:r>
            <w:r>
              <w:rPr>
                <w:rFonts w:eastAsia="Arial" w:cs="Arial" w:ascii="Arial" w:hAnsi="Arial"/>
                <w:b/>
                <w:bCs/>
                <w:sz w:val="18"/>
                <w:szCs w:val="18"/>
              </w:rPr>
              <w:t>500G</w:t>
            </w:r>
            <w:r>
              <w:rPr>
                <w:rFonts w:eastAsia="Arial" w:cs="Arial" w:ascii="Arial" w:hAnsi="Arial"/>
                <w:sz w:val="18"/>
                <w:szCs w:val="18"/>
              </w:rPr>
              <w:t>. VALIDADE MÍNIMA DE 6 MESES APÓS A ENTREGA.</w:t>
            </w:r>
          </w:p>
          <w:p>
            <w:pPr>
              <w:pStyle w:val="Normal"/>
              <w:widowControl w:val="false"/>
              <w:jc w:val="both"/>
              <w:rPr>
                <w:rFonts w:ascii="Arial" w:hAnsi="Arial" w:eastAsia="Arial" w:cs="Arial"/>
                <w:sz w:val="18"/>
                <w:szCs w:val="18"/>
              </w:rPr>
            </w:pPr>
            <w:r>
              <w:rPr>
                <w:rFonts w:eastAsia="Arial" w:cs="Arial" w:ascii="Arial" w:hAnsi="Arial"/>
                <w:sz w:val="18"/>
                <w:szCs w:val="18"/>
              </w:rPr>
              <w:t>MARCAS PARA REFERÊNCIA DE QUALIDADE: FREISCHMAN, MAURI E DONA BENTA E OU SIMILARES.</w:t>
            </w:r>
          </w:p>
        </w:tc>
        <w:tc>
          <w:tcPr>
            <w:tcW w:w="851"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120 UN</w:t>
            </w:r>
          </w:p>
        </w:tc>
        <w:tc>
          <w:tcPr>
            <w:tcW w:w="1134"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28,75</w:t>
            </w:r>
          </w:p>
        </w:tc>
        <w:tc>
          <w:tcPr>
            <w:tcW w:w="1419"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3.450,00</w:t>
            </w:r>
          </w:p>
        </w:tc>
      </w:tr>
      <w:tr>
        <w:trPr>
          <w:trHeight w:val="269" w:hRule="atLeast"/>
        </w:trPr>
        <w:tc>
          <w:tcPr>
            <w:tcW w:w="55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17</w:t>
            </w:r>
          </w:p>
        </w:tc>
        <w:tc>
          <w:tcPr>
            <w:tcW w:w="6377" w:type="dxa"/>
            <w:tcBorders>
              <w:top w:val="single" w:sz="8" w:space="0" w:color="000000"/>
              <w:left w:val="single" w:sz="8" w:space="0" w:color="000000"/>
              <w:bottom w:val="single" w:sz="8" w:space="0" w:color="000000"/>
              <w:right w:val="single" w:sz="8" w:space="0" w:color="000000"/>
            </w:tcBorders>
            <w:shd w:color="auto" w:fill="FFFFFF" w:val="clear"/>
          </w:tcPr>
          <w:p>
            <w:pPr>
              <w:pStyle w:val="Normal"/>
              <w:widowControl w:val="false"/>
              <w:jc w:val="both"/>
              <w:rPr>
                <w:rFonts w:ascii="Arial" w:hAnsi="Arial" w:eastAsia="Arial" w:cs="Arial"/>
                <w:sz w:val="18"/>
                <w:szCs w:val="18"/>
              </w:rPr>
            </w:pPr>
            <w:r>
              <w:rPr>
                <w:rFonts w:eastAsia="Arial" w:cs="Arial" w:ascii="Arial" w:hAnsi="Arial"/>
                <w:b/>
                <w:bCs/>
                <w:sz w:val="18"/>
                <w:szCs w:val="18"/>
              </w:rPr>
              <w:t>MACARRÃO TIPO: ESPAGUETE</w:t>
            </w:r>
            <w:r>
              <w:rPr>
                <w:rFonts w:eastAsia="Arial" w:cs="Arial" w:ascii="Arial" w:hAnsi="Arial"/>
                <w:sz w:val="18"/>
                <w:szCs w:val="18"/>
              </w:rPr>
              <w:t>; COM SÊMOLA; ISENTO FRAGMENTOS ESTRANHOS, LIVRE DE UMIDADE; ACONDICIONAMENTO: EMBALAGEM PLÁSTICA ORIGINAL DE 1KG. LEGISLAÇÃO: CONFORME RESOLUÇÃO RDC N 263, DE 22/09/2005; VALIDADE MÍNIMA DE 06 MESES APÓS A ENTREGA.</w:t>
            </w:r>
          </w:p>
        </w:tc>
        <w:tc>
          <w:tcPr>
            <w:tcW w:w="851"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2800 KG</w:t>
            </w:r>
          </w:p>
        </w:tc>
        <w:tc>
          <w:tcPr>
            <w:tcW w:w="1134"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5,60</w:t>
            </w:r>
          </w:p>
        </w:tc>
        <w:tc>
          <w:tcPr>
            <w:tcW w:w="1419"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15.680,00</w:t>
            </w:r>
          </w:p>
        </w:tc>
      </w:tr>
      <w:tr>
        <w:trPr>
          <w:trHeight w:val="269" w:hRule="atLeast"/>
        </w:trPr>
        <w:tc>
          <w:tcPr>
            <w:tcW w:w="55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18</w:t>
            </w:r>
          </w:p>
        </w:tc>
        <w:tc>
          <w:tcPr>
            <w:tcW w:w="6377" w:type="dxa"/>
            <w:tcBorders>
              <w:top w:val="single" w:sz="8" w:space="0" w:color="000000"/>
              <w:left w:val="single" w:sz="8" w:space="0" w:color="000000"/>
              <w:bottom w:val="single" w:sz="8" w:space="0" w:color="000000"/>
              <w:right w:val="single" w:sz="8" w:space="0" w:color="000000"/>
            </w:tcBorders>
            <w:shd w:color="auto" w:fill="FFFFFF" w:val="clear"/>
          </w:tcPr>
          <w:p>
            <w:pPr>
              <w:pStyle w:val="Normal"/>
              <w:widowControl w:val="false"/>
              <w:jc w:val="both"/>
              <w:rPr>
                <w:rFonts w:ascii="Arial" w:hAnsi="Arial" w:eastAsia="Arial" w:cs="Arial"/>
                <w:sz w:val="18"/>
                <w:szCs w:val="18"/>
              </w:rPr>
            </w:pPr>
            <w:r>
              <w:rPr>
                <w:rFonts w:eastAsia="Arial" w:cs="Arial" w:ascii="Arial" w:hAnsi="Arial"/>
                <w:b/>
                <w:bCs/>
                <w:sz w:val="18"/>
                <w:szCs w:val="18"/>
              </w:rPr>
              <w:t>MACARRÃO LETRINHA</w:t>
            </w:r>
            <w:r>
              <w:rPr>
                <w:rFonts w:eastAsia="Arial" w:cs="Arial" w:ascii="Arial" w:hAnsi="Arial"/>
                <w:sz w:val="18"/>
                <w:szCs w:val="18"/>
              </w:rPr>
              <w:t>; COM OVOS; ISENTO FRAGMENTOS ESTRANHOS, LIVRE DE UMIDADE; ACONDICIONAMENTO: EMBALAGEM PLÁSTICA ORIGINAL DE 500G. LEGISLAÇÃO: CONFORME RESOLUÇÃO RDC N 263, DE 22/09/2005; VALIDADE MÍNIMA DE 06 MESES APÓS A ENTREGA.</w:t>
            </w:r>
          </w:p>
        </w:tc>
        <w:tc>
          <w:tcPr>
            <w:tcW w:w="851"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200 PCT</w:t>
            </w:r>
          </w:p>
        </w:tc>
        <w:tc>
          <w:tcPr>
            <w:tcW w:w="1134"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4,39</w:t>
            </w:r>
          </w:p>
        </w:tc>
        <w:tc>
          <w:tcPr>
            <w:tcW w:w="1419"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878,00</w:t>
            </w:r>
          </w:p>
        </w:tc>
      </w:tr>
      <w:tr>
        <w:trPr>
          <w:trHeight w:val="269" w:hRule="atLeast"/>
        </w:trPr>
        <w:tc>
          <w:tcPr>
            <w:tcW w:w="55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19</w:t>
            </w:r>
          </w:p>
        </w:tc>
        <w:tc>
          <w:tcPr>
            <w:tcW w:w="637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both"/>
              <w:rPr>
                <w:rFonts w:ascii="Arial" w:hAnsi="Arial" w:eastAsia="Arial" w:cs="Arial"/>
                <w:sz w:val="18"/>
                <w:szCs w:val="18"/>
              </w:rPr>
            </w:pPr>
            <w:r>
              <w:rPr>
                <w:rFonts w:eastAsia="Arial" w:cs="Arial" w:ascii="Arial" w:hAnsi="Arial"/>
                <w:b/>
                <w:bCs/>
                <w:sz w:val="18"/>
                <w:szCs w:val="18"/>
              </w:rPr>
              <w:t>MACARRÃO TIPO PARAFUSO</w:t>
            </w:r>
            <w:r>
              <w:rPr>
                <w:rFonts w:eastAsia="Arial" w:cs="Arial" w:ascii="Arial" w:hAnsi="Arial"/>
                <w:sz w:val="18"/>
                <w:szCs w:val="18"/>
              </w:rPr>
              <w:t xml:space="preserve"> - ZERO GLÚTEN; COM ASPECTO, COR, ODOR E SABOR CARACTERÍSTICOS. ISENTO FRAGMENTOS ESTRANHOS, LIVRE DE UMIDADE; ACONDICIONAMENTO: EMBALAGEM PLÁSTICA ORIGINAL DE 500G. LEGISLAÇÃO: CONFORME RESOLUÇÃO RDC N 263, DE 22/09/2005; VALIDADE MÍNIMA DE 06 MESES APÓS A ENTREGA.</w:t>
            </w:r>
          </w:p>
        </w:tc>
        <w:tc>
          <w:tcPr>
            <w:tcW w:w="851"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140 PCT</w:t>
            </w:r>
          </w:p>
        </w:tc>
        <w:tc>
          <w:tcPr>
            <w:tcW w:w="1134"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4,89</w:t>
            </w:r>
          </w:p>
        </w:tc>
        <w:tc>
          <w:tcPr>
            <w:tcW w:w="1419"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684,60</w:t>
            </w:r>
          </w:p>
        </w:tc>
      </w:tr>
      <w:tr>
        <w:trPr>
          <w:trHeight w:val="269" w:hRule="atLeast"/>
        </w:trPr>
        <w:tc>
          <w:tcPr>
            <w:tcW w:w="55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20</w:t>
            </w:r>
          </w:p>
        </w:tc>
        <w:tc>
          <w:tcPr>
            <w:tcW w:w="637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both"/>
              <w:rPr>
                <w:rFonts w:ascii="Arial" w:hAnsi="Arial" w:eastAsia="Arial" w:cs="Arial"/>
                <w:sz w:val="18"/>
                <w:szCs w:val="18"/>
              </w:rPr>
            </w:pPr>
            <w:r>
              <w:rPr>
                <w:rFonts w:eastAsia="Arial" w:cs="Arial" w:ascii="Arial" w:hAnsi="Arial"/>
                <w:b/>
                <w:bCs/>
                <w:sz w:val="18"/>
                <w:szCs w:val="18"/>
              </w:rPr>
              <w:t>CONDIMENTO COLORÍFICO COLORAU</w:t>
            </w:r>
            <w:r>
              <w:rPr>
                <w:rFonts w:eastAsia="Arial" w:cs="Arial" w:ascii="Arial" w:hAnsi="Arial"/>
                <w:sz w:val="18"/>
                <w:szCs w:val="18"/>
              </w:rPr>
              <w:t xml:space="preserve"> FINO, HOMOGÊNEO, OBTIDO DE FRUTOS MADUROS DE URUCUM, LIMPOS, DESSECADOS E MOÍDOS, DE COLORAÇÃO AVERMELHADA, COM ASPECTO, COR, CHEIRO E SABOR PRÓPRIO; ISENTO DE MATERIAIS ESTRANHOS, ACONDICIONADO EM EMBALAGEM ORIGINAL COM 500G. VALIDADE MÍNIMA DE 06 MESES APÓS A ENTREGA.</w:t>
            </w:r>
          </w:p>
        </w:tc>
        <w:tc>
          <w:tcPr>
            <w:tcW w:w="851"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640 PCT</w:t>
            </w:r>
          </w:p>
        </w:tc>
        <w:tc>
          <w:tcPr>
            <w:tcW w:w="1134"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11,56</w:t>
            </w:r>
          </w:p>
        </w:tc>
        <w:tc>
          <w:tcPr>
            <w:tcW w:w="1419"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7.398,40</w:t>
            </w:r>
          </w:p>
        </w:tc>
      </w:tr>
      <w:tr>
        <w:trPr>
          <w:trHeight w:val="269" w:hRule="atLeast"/>
        </w:trPr>
        <w:tc>
          <w:tcPr>
            <w:tcW w:w="55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21</w:t>
            </w:r>
          </w:p>
        </w:tc>
        <w:tc>
          <w:tcPr>
            <w:tcW w:w="637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both"/>
              <w:rPr>
                <w:rFonts w:ascii="Arial" w:hAnsi="Arial" w:eastAsia="Arial" w:cs="Arial"/>
                <w:sz w:val="18"/>
                <w:szCs w:val="18"/>
              </w:rPr>
            </w:pPr>
            <w:r>
              <w:rPr>
                <w:rFonts w:eastAsia="Arial" w:cs="Arial" w:ascii="Arial" w:hAnsi="Arial"/>
                <w:b/>
                <w:bCs/>
                <w:sz w:val="18"/>
                <w:szCs w:val="18"/>
              </w:rPr>
              <w:t>BISCOITO SALGADO TIPO CREAM CRACKER</w:t>
            </w:r>
            <w:r>
              <w:rPr>
                <w:rFonts w:eastAsia="Arial" w:cs="Arial" w:ascii="Arial" w:hAnsi="Arial"/>
                <w:sz w:val="18"/>
                <w:szCs w:val="18"/>
              </w:rPr>
              <w:t xml:space="preserve"> TEXTURA CROCANTE; COM ODOR, SABOR E COR CARACTERÍSTICOS; ISENTO DE PARASITAS E MATERIAIS ESTRANHOS. EMBALAGEM PRIMÁRIA PLÁSTICA DE 400G.  VALIDADE MÍNIMA DE 06 MESES APÓS A ENTREGA. ZERO GORDURA TRANS.</w:t>
            </w:r>
          </w:p>
        </w:tc>
        <w:tc>
          <w:tcPr>
            <w:tcW w:w="851"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760 PCT</w:t>
            </w:r>
          </w:p>
        </w:tc>
        <w:tc>
          <w:tcPr>
            <w:tcW w:w="1134"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6,89</w:t>
            </w:r>
          </w:p>
        </w:tc>
        <w:tc>
          <w:tcPr>
            <w:tcW w:w="1419"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5.236,40</w:t>
            </w:r>
          </w:p>
        </w:tc>
      </w:tr>
      <w:tr>
        <w:trPr>
          <w:trHeight w:val="269" w:hRule="atLeast"/>
        </w:trPr>
        <w:tc>
          <w:tcPr>
            <w:tcW w:w="55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22</w:t>
            </w:r>
          </w:p>
        </w:tc>
        <w:tc>
          <w:tcPr>
            <w:tcW w:w="637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both"/>
              <w:rPr>
                <w:rFonts w:ascii="Arial" w:hAnsi="Arial" w:eastAsia="Arial" w:cs="Arial"/>
                <w:sz w:val="18"/>
                <w:szCs w:val="18"/>
              </w:rPr>
            </w:pPr>
            <w:r>
              <w:rPr>
                <w:rFonts w:eastAsia="Arial" w:cs="Arial" w:ascii="Arial" w:hAnsi="Arial"/>
                <w:b/>
                <w:bCs/>
                <w:sz w:val="18"/>
                <w:szCs w:val="18"/>
              </w:rPr>
              <w:t>BISCOITO DE POLVILHO SALGADO</w:t>
            </w:r>
            <w:r>
              <w:rPr>
                <w:rFonts w:eastAsia="Arial" w:cs="Arial" w:ascii="Arial" w:hAnsi="Arial"/>
                <w:sz w:val="18"/>
                <w:szCs w:val="18"/>
              </w:rPr>
              <w:t xml:space="preserve"> DE 100 GRAMAS SEM GLÚTEN, SEM LACTOSE, SEM LEITE E DERIVADOS, LEVE E CROCANTE, EMBALAGEM PLÁSTICA, ATÓXICA, RESISTENTE, NÃO VIOLADA, APRESENTANDO DADOS DO PRODUTO, IDENTIFICAÇÃO, PROCEDÊNCIA, INGREDIENTES, INFORMAÇÃO NUTRICIONAL, LOTE, GRAMATURA, DATA DE FABRICAÇÃO E VALIDADE, CONTENDO OS SEGUINTES INGREDIENTES: POLVILHO, GORDURA VEGETAL, OVOS E SAL, EMBALAGEM DE 100 GRAMAS.</w:t>
            </w:r>
          </w:p>
        </w:tc>
        <w:tc>
          <w:tcPr>
            <w:tcW w:w="851"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2400 UN</w:t>
            </w:r>
          </w:p>
        </w:tc>
        <w:tc>
          <w:tcPr>
            <w:tcW w:w="1134"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26,97</w:t>
            </w:r>
          </w:p>
        </w:tc>
        <w:tc>
          <w:tcPr>
            <w:tcW w:w="1419"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64.728,00</w:t>
            </w:r>
          </w:p>
        </w:tc>
      </w:tr>
      <w:tr>
        <w:trPr>
          <w:trHeight w:val="269" w:hRule="atLeast"/>
        </w:trPr>
        <w:tc>
          <w:tcPr>
            <w:tcW w:w="55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23</w:t>
            </w:r>
          </w:p>
        </w:tc>
        <w:tc>
          <w:tcPr>
            <w:tcW w:w="637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both"/>
              <w:rPr>
                <w:rFonts w:ascii="Arial" w:hAnsi="Arial" w:eastAsia="Arial" w:cs="Arial"/>
                <w:sz w:val="18"/>
                <w:szCs w:val="18"/>
              </w:rPr>
            </w:pPr>
            <w:r>
              <w:rPr>
                <w:rFonts w:eastAsia="Arial" w:cs="Arial" w:ascii="Arial" w:hAnsi="Arial"/>
                <w:b/>
                <w:bCs/>
                <w:sz w:val="18"/>
                <w:szCs w:val="18"/>
              </w:rPr>
              <w:t>BISCOITO DOCE TIPO ROSQUINHA SABOR COCO</w:t>
            </w:r>
            <w:r>
              <w:rPr>
                <w:rFonts w:eastAsia="Arial" w:cs="Arial" w:ascii="Arial" w:hAnsi="Arial"/>
                <w:sz w:val="18"/>
                <w:szCs w:val="18"/>
              </w:rPr>
              <w:t>, SEM LACTOSE E SEM GLÚTEN. TEXTURA CROCANTE; COM ODOR, SABOR E COR CARACTERÍSTICOS; ISENTO DE PARASITAS E MATERIAIS ESTRANHOS. EMBALAGEM PRIMÁRIA PLÁSTICA DE 700G.  VALIDADE MÍNIMA DE 06 MESES APÓS A ENTREGA. ZERO GORDURA TRANS.</w:t>
            </w:r>
          </w:p>
        </w:tc>
        <w:tc>
          <w:tcPr>
            <w:tcW w:w="851"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400 PCT</w:t>
            </w:r>
          </w:p>
        </w:tc>
        <w:tc>
          <w:tcPr>
            <w:tcW w:w="1134"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6,90</w:t>
            </w:r>
          </w:p>
        </w:tc>
        <w:tc>
          <w:tcPr>
            <w:tcW w:w="1419"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2.760,00</w:t>
            </w:r>
          </w:p>
        </w:tc>
      </w:tr>
      <w:tr>
        <w:trPr>
          <w:trHeight w:val="269" w:hRule="atLeast"/>
        </w:trPr>
        <w:tc>
          <w:tcPr>
            <w:tcW w:w="55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24</w:t>
            </w:r>
          </w:p>
        </w:tc>
        <w:tc>
          <w:tcPr>
            <w:tcW w:w="637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both"/>
              <w:rPr>
                <w:rFonts w:ascii="Arial" w:hAnsi="Arial" w:eastAsia="Arial" w:cs="Arial"/>
                <w:sz w:val="18"/>
                <w:szCs w:val="18"/>
              </w:rPr>
            </w:pPr>
            <w:r>
              <w:rPr>
                <w:rFonts w:eastAsia="Arial" w:cs="Arial" w:ascii="Arial" w:hAnsi="Arial"/>
                <w:b/>
                <w:bCs/>
                <w:sz w:val="18"/>
                <w:szCs w:val="18"/>
              </w:rPr>
              <w:t>BISCOITO DOCE TIPO MAISENA OU MARIA</w:t>
            </w:r>
            <w:r>
              <w:rPr>
                <w:rFonts w:eastAsia="Arial" w:cs="Arial" w:ascii="Arial" w:hAnsi="Arial"/>
                <w:sz w:val="18"/>
                <w:szCs w:val="18"/>
              </w:rPr>
              <w:t xml:space="preserve"> TEXTURA CROCANTE; COM ODOR, SABOR E COR CARACTERÍSTICOS; ISENTO DE PARASITAS E MATERIAIS ESTRANHOS. EMBALAGEM PRIMÁRIA PLÁSTICA DE 400G.  VALIDADE MÍNIMA DE 06 MESES APÓS A ENTREGA. ZERO GORDURA TRANS.</w:t>
            </w:r>
          </w:p>
        </w:tc>
        <w:tc>
          <w:tcPr>
            <w:tcW w:w="851"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760 PCT</w:t>
            </w:r>
          </w:p>
        </w:tc>
        <w:tc>
          <w:tcPr>
            <w:tcW w:w="1134"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21,87</w:t>
            </w:r>
          </w:p>
        </w:tc>
        <w:tc>
          <w:tcPr>
            <w:tcW w:w="1419"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16.621,20</w:t>
            </w:r>
          </w:p>
        </w:tc>
      </w:tr>
      <w:tr>
        <w:trPr>
          <w:trHeight w:val="269" w:hRule="atLeast"/>
        </w:trPr>
        <w:tc>
          <w:tcPr>
            <w:tcW w:w="55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25</w:t>
            </w:r>
          </w:p>
        </w:tc>
        <w:tc>
          <w:tcPr>
            <w:tcW w:w="637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both"/>
              <w:rPr>
                <w:rFonts w:ascii="Arial" w:hAnsi="Arial" w:eastAsia="Arial" w:cs="Arial"/>
                <w:sz w:val="18"/>
                <w:szCs w:val="18"/>
              </w:rPr>
            </w:pPr>
            <w:r>
              <w:rPr>
                <w:rFonts w:eastAsia="Arial" w:cs="Arial" w:ascii="Arial" w:hAnsi="Arial"/>
                <w:b/>
                <w:bCs/>
                <w:sz w:val="18"/>
                <w:szCs w:val="18"/>
              </w:rPr>
              <w:t>AÇÚCAR CRISTALIZADO</w:t>
            </w:r>
            <w:r>
              <w:rPr>
                <w:rFonts w:eastAsia="Arial" w:cs="Arial" w:ascii="Arial" w:hAnsi="Arial"/>
                <w:sz w:val="18"/>
                <w:szCs w:val="18"/>
              </w:rPr>
              <w:t xml:space="preserve"> APRESENTAÇÃO: CRISTAL BRANCO; O PRODUTO DEVERÁ APRESENTAR REGISTRO NO ÓRGÃO COMPETENTE E INFORMAÇÕES NUTRICIONAIS; ACONDICIONAMENTO: EMBALAGEM PLÁSTICA ORIGINAL CONTENDO 2 KG. VALIDADE MÍNIMA DE 06 MESES APÓS A ENTREGA.</w:t>
            </w:r>
          </w:p>
        </w:tc>
        <w:tc>
          <w:tcPr>
            <w:tcW w:w="851"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2400 Kg</w:t>
            </w:r>
          </w:p>
        </w:tc>
        <w:tc>
          <w:tcPr>
            <w:tcW w:w="1134"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8,28</w:t>
            </w:r>
          </w:p>
        </w:tc>
        <w:tc>
          <w:tcPr>
            <w:tcW w:w="1419"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19.872,00</w:t>
            </w:r>
          </w:p>
        </w:tc>
      </w:tr>
      <w:tr>
        <w:trPr>
          <w:trHeight w:val="269" w:hRule="atLeast"/>
        </w:trPr>
        <w:tc>
          <w:tcPr>
            <w:tcW w:w="55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26</w:t>
            </w:r>
          </w:p>
        </w:tc>
        <w:tc>
          <w:tcPr>
            <w:tcW w:w="637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both"/>
              <w:rPr>
                <w:rFonts w:ascii="Arial" w:hAnsi="Arial" w:eastAsia="Arial" w:cs="Arial"/>
                <w:sz w:val="18"/>
                <w:szCs w:val="18"/>
              </w:rPr>
            </w:pPr>
            <w:r>
              <w:rPr>
                <w:rFonts w:eastAsia="Arial" w:cs="Arial" w:ascii="Arial" w:hAnsi="Arial"/>
                <w:b/>
                <w:bCs/>
                <w:sz w:val="18"/>
                <w:szCs w:val="18"/>
              </w:rPr>
              <w:t>ARROZ</w:t>
            </w:r>
            <w:r>
              <w:rPr>
                <w:rFonts w:eastAsia="Arial" w:cs="Arial" w:ascii="Arial" w:hAnsi="Arial"/>
                <w:sz w:val="18"/>
                <w:szCs w:val="18"/>
              </w:rPr>
              <w:t xml:space="preserve"> CLASSE: BRANCO POLIDO; TIPO 1, LONGO, FINO, GRÃOS INTEIROS, ISENTO DE FRAGMENTOS ESTRANHOS, PARASITAS E DETRITOS; ACONDICIONAMENTO: EMBALAGEM PLÁSTICA ORIGINAL; LEGISLAÇÃO: CONFORME RESOLUÇÃO RDC N 263, DE 22/09/2005; UNIDADE DE FORNECIMENTO: EMBALAGEM COM 5 KG. VALIDADE MÍNIMA DE 06 MESES APÓS A ENTREGA.</w:t>
            </w:r>
          </w:p>
        </w:tc>
        <w:tc>
          <w:tcPr>
            <w:tcW w:w="851"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7200 Kg</w:t>
            </w:r>
          </w:p>
        </w:tc>
        <w:tc>
          <w:tcPr>
            <w:tcW w:w="1134"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21,75</w:t>
            </w:r>
          </w:p>
        </w:tc>
        <w:tc>
          <w:tcPr>
            <w:tcW w:w="1419"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156.600,00</w:t>
            </w:r>
          </w:p>
        </w:tc>
      </w:tr>
      <w:tr>
        <w:trPr>
          <w:trHeight w:val="269" w:hRule="atLeast"/>
        </w:trPr>
        <w:tc>
          <w:tcPr>
            <w:tcW w:w="55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27</w:t>
            </w:r>
          </w:p>
        </w:tc>
        <w:tc>
          <w:tcPr>
            <w:tcW w:w="637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both"/>
              <w:rPr>
                <w:rFonts w:ascii="Arial" w:hAnsi="Arial" w:eastAsia="Arial" w:cs="Arial"/>
                <w:sz w:val="18"/>
                <w:szCs w:val="18"/>
              </w:rPr>
            </w:pPr>
            <w:r>
              <w:rPr>
                <w:rFonts w:eastAsia="Arial" w:cs="Arial" w:ascii="Arial" w:hAnsi="Arial"/>
                <w:b/>
                <w:bCs/>
                <w:sz w:val="18"/>
                <w:szCs w:val="18"/>
              </w:rPr>
              <w:t>ÓLEO DE SOJA</w:t>
            </w:r>
            <w:r>
              <w:rPr>
                <w:rFonts w:eastAsia="Arial" w:cs="Arial" w:ascii="Arial" w:hAnsi="Arial"/>
                <w:sz w:val="18"/>
                <w:szCs w:val="18"/>
              </w:rPr>
              <w:t xml:space="preserve"> REFINADO TIPO 1, LÍQUIDO VISCOSO, FABRICADO A PARTIR DE MATÉRIAS PRIMAS SÃS E LIMPAS; EM EMBALAGEM PLÁSTICA ORIGINAL COM 900 ML. VALIDADE MÍNIMA DE 04 MESES APÓS A ENTREGA</w:t>
            </w:r>
          </w:p>
        </w:tc>
        <w:tc>
          <w:tcPr>
            <w:tcW w:w="851"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2400 un</w:t>
            </w:r>
          </w:p>
        </w:tc>
        <w:tc>
          <w:tcPr>
            <w:tcW w:w="1134"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8,00</w:t>
            </w:r>
          </w:p>
        </w:tc>
        <w:tc>
          <w:tcPr>
            <w:tcW w:w="1419"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19.200,00</w:t>
            </w:r>
          </w:p>
        </w:tc>
      </w:tr>
      <w:tr>
        <w:trPr>
          <w:trHeight w:val="269" w:hRule="atLeast"/>
        </w:trPr>
        <w:tc>
          <w:tcPr>
            <w:tcW w:w="55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28</w:t>
            </w:r>
          </w:p>
        </w:tc>
        <w:tc>
          <w:tcPr>
            <w:tcW w:w="637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both"/>
              <w:rPr>
                <w:rFonts w:ascii="Arial" w:hAnsi="Arial" w:eastAsia="Arial" w:cs="Arial"/>
                <w:sz w:val="18"/>
                <w:szCs w:val="18"/>
              </w:rPr>
            </w:pPr>
            <w:r>
              <w:rPr>
                <w:rFonts w:eastAsia="Arial" w:cs="Arial" w:ascii="Arial" w:hAnsi="Arial"/>
                <w:b/>
                <w:bCs/>
                <w:sz w:val="18"/>
                <w:szCs w:val="18"/>
              </w:rPr>
              <w:t>FEIJÃO CARIOCA</w:t>
            </w:r>
            <w:r>
              <w:rPr>
                <w:rFonts w:eastAsia="Arial" w:cs="Arial" w:ascii="Arial" w:hAnsi="Arial"/>
                <w:sz w:val="18"/>
                <w:szCs w:val="18"/>
              </w:rPr>
              <w:t>, TIPO 1, NOVO, GRÃOS INTEIROS, SEM FUROS, SEM MOFO, COM ODOR CARACTERÍSTICO, ISENTO DE FRAGMENTOS ESTRANHOS, PARASITAS E DETRITOS; ACONDICIONADO EM EMBALAGEM PLÁSTICA ORIGINAL COM 01 KG. VALIDADE MÍNIMA DE 04 MESES APÓS A ENTREGA.</w:t>
            </w:r>
          </w:p>
        </w:tc>
        <w:tc>
          <w:tcPr>
            <w:tcW w:w="851"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3200 Kg</w:t>
            </w:r>
          </w:p>
        </w:tc>
        <w:tc>
          <w:tcPr>
            <w:tcW w:w="1134"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6,80</w:t>
            </w:r>
          </w:p>
        </w:tc>
        <w:tc>
          <w:tcPr>
            <w:tcW w:w="1419"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21.760,00</w:t>
            </w:r>
          </w:p>
        </w:tc>
      </w:tr>
      <w:tr>
        <w:trPr>
          <w:trHeight w:val="269" w:hRule="atLeast"/>
        </w:trPr>
        <w:tc>
          <w:tcPr>
            <w:tcW w:w="55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29</w:t>
            </w:r>
          </w:p>
        </w:tc>
        <w:tc>
          <w:tcPr>
            <w:tcW w:w="637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both"/>
              <w:rPr>
                <w:rFonts w:ascii="Arial" w:hAnsi="Arial" w:eastAsia="Arial" w:cs="Arial"/>
                <w:sz w:val="18"/>
                <w:szCs w:val="18"/>
              </w:rPr>
            </w:pPr>
            <w:r>
              <w:rPr>
                <w:rFonts w:eastAsia="Arial" w:cs="Arial" w:ascii="Arial" w:hAnsi="Arial"/>
                <w:b/>
                <w:bCs/>
                <w:sz w:val="18"/>
                <w:szCs w:val="18"/>
              </w:rPr>
              <w:t>FUBÁ PRÉ COZIDO</w:t>
            </w:r>
            <w:r>
              <w:rPr>
                <w:rFonts w:eastAsia="Arial" w:cs="Arial" w:ascii="Arial" w:hAnsi="Arial"/>
                <w:sz w:val="18"/>
                <w:szCs w:val="18"/>
              </w:rPr>
              <w:t xml:space="preserve"> ENRIQUECIDO COM FERRO, ÁCIDO FÓLICO E VITAMINA B9; ISENTO DE FRAGMENTOS ESTRANHOS, PARASITAS E DETRITOS; LEGISLAÇÃO: CONFORME RESOLUÇÃO RDC N 263, DE 22/09/2005; ACONDICIONAMENTO: EMBALAGEM ORIGINAL COM 01 KG. VALIDADE MÍNIMA DE 04 MESES APÓS A ENTREGA.</w:t>
            </w:r>
          </w:p>
        </w:tc>
        <w:tc>
          <w:tcPr>
            <w:tcW w:w="851"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1500 KG</w:t>
            </w:r>
          </w:p>
        </w:tc>
        <w:tc>
          <w:tcPr>
            <w:tcW w:w="1134"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4,56</w:t>
            </w:r>
          </w:p>
        </w:tc>
        <w:tc>
          <w:tcPr>
            <w:tcW w:w="1419"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6.840,00</w:t>
            </w:r>
          </w:p>
        </w:tc>
      </w:tr>
      <w:tr>
        <w:trPr>
          <w:trHeight w:val="269" w:hRule="atLeast"/>
        </w:trPr>
        <w:tc>
          <w:tcPr>
            <w:tcW w:w="55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30</w:t>
            </w:r>
          </w:p>
        </w:tc>
        <w:tc>
          <w:tcPr>
            <w:tcW w:w="637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both"/>
              <w:rPr>
                <w:rFonts w:ascii="Arial" w:hAnsi="Arial" w:eastAsia="Arial" w:cs="Arial"/>
                <w:sz w:val="18"/>
                <w:szCs w:val="18"/>
              </w:rPr>
            </w:pPr>
            <w:r>
              <w:rPr>
                <w:rFonts w:eastAsia="Arial" w:cs="Arial" w:ascii="Arial" w:hAnsi="Arial"/>
                <w:b/>
                <w:bCs/>
                <w:sz w:val="18"/>
                <w:szCs w:val="18"/>
              </w:rPr>
              <w:t>SAL REFINADO</w:t>
            </w:r>
            <w:r>
              <w:rPr>
                <w:rFonts w:eastAsia="Arial" w:cs="Arial" w:ascii="Arial" w:hAnsi="Arial"/>
                <w:sz w:val="18"/>
                <w:szCs w:val="18"/>
              </w:rPr>
              <w:t xml:space="preserve"> TIPO: REFINADO IODADO; ISENTO DE FRAGMENTOS ESTRANHOS, PARASITAS E DETRITOS; LIVRE DE UMIDADE; LEGISLAÇÃO: CONFORME RESOLUCAO RDC N 130, DE 26/05/2003; ACONDICIONAMENTO: EMBALAGEM PLASTICA ORIGINAL DE 01KG. VALIDADE: MÍNIMO DE 08 MESES A PARTIR DA DATA DE ENTREGA;</w:t>
            </w:r>
          </w:p>
        </w:tc>
        <w:tc>
          <w:tcPr>
            <w:tcW w:w="851"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1000 KG</w:t>
            </w:r>
          </w:p>
        </w:tc>
        <w:tc>
          <w:tcPr>
            <w:tcW w:w="1134"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2,25</w:t>
            </w:r>
          </w:p>
        </w:tc>
        <w:tc>
          <w:tcPr>
            <w:tcW w:w="1419"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2,250,00</w:t>
            </w:r>
          </w:p>
        </w:tc>
      </w:tr>
      <w:tr>
        <w:trPr>
          <w:trHeight w:val="269" w:hRule="atLeast"/>
        </w:trPr>
        <w:tc>
          <w:tcPr>
            <w:tcW w:w="55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31</w:t>
            </w:r>
          </w:p>
        </w:tc>
        <w:tc>
          <w:tcPr>
            <w:tcW w:w="637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both"/>
              <w:rPr>
                <w:rFonts w:ascii="Arial" w:hAnsi="Arial" w:eastAsia="Arial" w:cs="Arial"/>
                <w:sz w:val="18"/>
                <w:szCs w:val="18"/>
              </w:rPr>
            </w:pPr>
            <w:r>
              <w:rPr>
                <w:rFonts w:eastAsia="Arial" w:cs="Arial" w:ascii="Arial" w:hAnsi="Arial"/>
                <w:b/>
                <w:bCs/>
                <w:sz w:val="18"/>
                <w:szCs w:val="18"/>
              </w:rPr>
              <w:t>FARINHA DE TRIGO</w:t>
            </w:r>
            <w:r>
              <w:rPr>
                <w:rFonts w:eastAsia="Arial" w:cs="Arial" w:ascii="Arial" w:hAnsi="Arial"/>
                <w:sz w:val="18"/>
                <w:szCs w:val="18"/>
              </w:rPr>
              <w:t xml:space="preserve"> PRODUTO COMPOSTO DE 100% FARINHA DE TRIGO ESPECIAL PARA CONSUMO, OBTIDO ATRAVÉS DA MOAGEM DE TRIGO E ENRIQUECIDA COM FERRO E ÁCIDO FÓLICO. ACONDICIONAMENTO: EMBALAGEM ORIGINAL COM 1KG; LEGISLAÇÃO: CONFORME RESOLUÇÃO RDC N 175, DE 08/07/2003; VALIDADE MÍNIMA DE 04 MESES APÓS A ENTREGA.</w:t>
            </w:r>
          </w:p>
        </w:tc>
        <w:tc>
          <w:tcPr>
            <w:tcW w:w="851"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3000 KG</w:t>
            </w:r>
          </w:p>
        </w:tc>
        <w:tc>
          <w:tcPr>
            <w:tcW w:w="1134"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3,83</w:t>
            </w:r>
          </w:p>
        </w:tc>
        <w:tc>
          <w:tcPr>
            <w:tcW w:w="1419"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11.490,00</w:t>
            </w:r>
          </w:p>
        </w:tc>
      </w:tr>
      <w:tr>
        <w:trPr>
          <w:trHeight w:val="269" w:hRule="atLeast"/>
        </w:trPr>
        <w:tc>
          <w:tcPr>
            <w:tcW w:w="55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32</w:t>
            </w:r>
          </w:p>
        </w:tc>
        <w:tc>
          <w:tcPr>
            <w:tcW w:w="637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both"/>
              <w:rPr>
                <w:rFonts w:ascii="Arial" w:hAnsi="Arial" w:eastAsia="Arial" w:cs="Arial"/>
                <w:sz w:val="18"/>
                <w:szCs w:val="18"/>
              </w:rPr>
            </w:pPr>
            <w:r>
              <w:rPr>
                <w:rFonts w:eastAsia="Arial" w:cs="Arial" w:ascii="Arial" w:hAnsi="Arial"/>
                <w:b/>
                <w:bCs/>
                <w:sz w:val="18"/>
                <w:szCs w:val="18"/>
              </w:rPr>
              <w:t>FARINHA DE MANDIOCA</w:t>
            </w:r>
            <w:r>
              <w:rPr>
                <w:rFonts w:eastAsia="Arial" w:cs="Arial" w:ascii="Arial" w:hAnsi="Arial"/>
                <w:sz w:val="18"/>
                <w:szCs w:val="18"/>
              </w:rPr>
              <w:t xml:space="preserve"> de 1ª qualidade, FINA, SECA, ISENTO DE FRAGMENTOS ESTRANHOS, PARASITAS E DETRITOS, LIVRE DE UMIDADE, COM REGISTRO DO MINISTÉRIO COMPETENTE, EMBALAGEM CONTENDO DADOS DE IDENTIFICAÇÃO, PROCEDÊNCIA, INFORMAÇÃO NUTRICIONAL, NÚMERO DE LOTE E DATA DE VALIDADE. EMBALAGEM PLÁSTICA DE 01KG, VALIDADE MÍNIMA DE 06 MESES A PARTIR DA DATA DE ENTREGA.</w:t>
            </w:r>
          </w:p>
        </w:tc>
        <w:tc>
          <w:tcPr>
            <w:tcW w:w="851"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300 PCT</w:t>
            </w:r>
          </w:p>
        </w:tc>
        <w:tc>
          <w:tcPr>
            <w:tcW w:w="1134"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9,12</w:t>
            </w:r>
          </w:p>
        </w:tc>
        <w:tc>
          <w:tcPr>
            <w:tcW w:w="1419"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2.736,00</w:t>
            </w:r>
          </w:p>
        </w:tc>
      </w:tr>
      <w:tr>
        <w:trPr>
          <w:trHeight w:val="269" w:hRule="atLeast"/>
        </w:trPr>
        <w:tc>
          <w:tcPr>
            <w:tcW w:w="55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33</w:t>
            </w:r>
          </w:p>
        </w:tc>
        <w:tc>
          <w:tcPr>
            <w:tcW w:w="637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both"/>
              <w:rPr>
                <w:rFonts w:ascii="Arial" w:hAnsi="Arial" w:eastAsia="Arial" w:cs="Arial"/>
                <w:sz w:val="18"/>
                <w:szCs w:val="18"/>
              </w:rPr>
            </w:pPr>
            <w:r>
              <w:rPr>
                <w:rFonts w:eastAsia="Arial" w:cs="Arial" w:ascii="Arial" w:hAnsi="Arial"/>
                <w:b/>
                <w:bCs/>
                <w:sz w:val="18"/>
                <w:szCs w:val="18"/>
              </w:rPr>
              <w:t>FARINHA DE AVEIA INTEGRAL</w:t>
            </w:r>
            <w:r>
              <w:rPr>
                <w:rFonts w:eastAsia="Arial" w:cs="Arial" w:ascii="Arial" w:hAnsi="Arial"/>
                <w:sz w:val="18"/>
                <w:szCs w:val="18"/>
              </w:rPr>
              <w:t xml:space="preserve"> RICA EM FIBRAS, PROTEÍNA, VITAMINA E SAIS MINERAIS.  ISENTA DE FRAGMENTOS ESTRANHOS, PARASITAS E DETRITOS; LIVRE DE UMIDADE; EMBALAGEM: CAIXINHA DE 165G OU 170G. VALIDADE MÍNIMA DE 06 MESES APÓS A ENTREGA.</w:t>
            </w:r>
          </w:p>
        </w:tc>
        <w:tc>
          <w:tcPr>
            <w:tcW w:w="851"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300 UN</w:t>
            </w:r>
          </w:p>
        </w:tc>
        <w:tc>
          <w:tcPr>
            <w:tcW w:w="1134"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5,59</w:t>
            </w:r>
          </w:p>
        </w:tc>
        <w:tc>
          <w:tcPr>
            <w:tcW w:w="1419"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1.677,00</w:t>
            </w:r>
          </w:p>
        </w:tc>
      </w:tr>
      <w:tr>
        <w:trPr>
          <w:trHeight w:val="269" w:hRule="atLeast"/>
        </w:trPr>
        <w:tc>
          <w:tcPr>
            <w:tcW w:w="55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34</w:t>
            </w:r>
          </w:p>
        </w:tc>
        <w:tc>
          <w:tcPr>
            <w:tcW w:w="637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both"/>
              <w:rPr>
                <w:rFonts w:ascii="Arial" w:hAnsi="Arial" w:eastAsia="Arial" w:cs="Arial"/>
                <w:sz w:val="18"/>
                <w:szCs w:val="18"/>
              </w:rPr>
            </w:pPr>
            <w:r>
              <w:rPr>
                <w:rFonts w:eastAsia="Arial" w:cs="Arial" w:ascii="Arial" w:hAnsi="Arial"/>
                <w:b/>
                <w:bCs/>
                <w:sz w:val="18"/>
                <w:szCs w:val="18"/>
              </w:rPr>
              <w:t>AVEIA EM FLOCOS FINOS</w:t>
            </w:r>
            <w:r>
              <w:rPr>
                <w:rFonts w:eastAsia="Arial" w:cs="Arial" w:ascii="Arial" w:hAnsi="Arial"/>
                <w:sz w:val="18"/>
                <w:szCs w:val="18"/>
              </w:rPr>
              <w:t xml:space="preserve"> RICA EM FIBRAS, PROTEÍNA, VITAMINA E SAIS MINERAIS.  ISENTA DE FRAGMENTOS ESTRANHOS, PARASITAS E DETRITOS; LIVRE DE UMIDADE; EMBALAGEM: CAIXINHA DE 165G OU 170G. VALIDADE MÍNIMA DE 06 MESES APÓS A ENTREGA.</w:t>
            </w:r>
          </w:p>
        </w:tc>
        <w:tc>
          <w:tcPr>
            <w:tcW w:w="851"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300 UN</w:t>
            </w:r>
          </w:p>
        </w:tc>
        <w:tc>
          <w:tcPr>
            <w:tcW w:w="1134"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3,39</w:t>
            </w:r>
          </w:p>
        </w:tc>
        <w:tc>
          <w:tcPr>
            <w:tcW w:w="1419"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1.017,00</w:t>
            </w:r>
          </w:p>
        </w:tc>
      </w:tr>
      <w:tr>
        <w:trPr>
          <w:trHeight w:val="269" w:hRule="atLeast"/>
        </w:trPr>
        <w:tc>
          <w:tcPr>
            <w:tcW w:w="55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35</w:t>
            </w:r>
          </w:p>
        </w:tc>
        <w:tc>
          <w:tcPr>
            <w:tcW w:w="637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both"/>
              <w:rPr>
                <w:rFonts w:ascii="Arial" w:hAnsi="Arial" w:eastAsia="Arial" w:cs="Arial"/>
                <w:sz w:val="18"/>
                <w:szCs w:val="18"/>
              </w:rPr>
            </w:pPr>
            <w:r>
              <w:rPr>
                <w:rFonts w:eastAsia="Arial" w:cs="Arial" w:ascii="Arial" w:hAnsi="Arial"/>
                <w:b/>
                <w:bCs/>
                <w:sz w:val="18"/>
                <w:szCs w:val="18"/>
              </w:rPr>
              <w:t>MILHO PARA CANJICA</w:t>
            </w:r>
            <w:r>
              <w:rPr>
                <w:rFonts w:eastAsia="Arial" w:cs="Arial" w:ascii="Arial" w:hAnsi="Arial"/>
                <w:sz w:val="18"/>
                <w:szCs w:val="18"/>
              </w:rPr>
              <w:t xml:space="preserve"> GRUPO: CLASSE: BRANCO; TIPO 1; LEGISLACAO CONFORME RESOLUCAO RDC 263 DE 22 DE SETEMBRO DE 2005. EMBALAGEM COM 500G. VALIDADE MÍNIMA DE 04 MESES APÓS A ENTREGA.</w:t>
            </w:r>
          </w:p>
        </w:tc>
        <w:tc>
          <w:tcPr>
            <w:tcW w:w="851"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400 PCT</w:t>
            </w:r>
          </w:p>
        </w:tc>
        <w:tc>
          <w:tcPr>
            <w:tcW w:w="1134"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11,89</w:t>
            </w:r>
          </w:p>
        </w:tc>
        <w:tc>
          <w:tcPr>
            <w:tcW w:w="1419"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4.756,00</w:t>
            </w:r>
          </w:p>
        </w:tc>
      </w:tr>
      <w:tr>
        <w:trPr>
          <w:trHeight w:val="269" w:hRule="atLeast"/>
        </w:trPr>
        <w:tc>
          <w:tcPr>
            <w:tcW w:w="55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36</w:t>
            </w:r>
          </w:p>
        </w:tc>
        <w:tc>
          <w:tcPr>
            <w:tcW w:w="637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both"/>
              <w:rPr>
                <w:rFonts w:ascii="Arial" w:hAnsi="Arial" w:eastAsia="Arial" w:cs="Arial"/>
                <w:sz w:val="18"/>
                <w:szCs w:val="18"/>
              </w:rPr>
            </w:pPr>
            <w:r>
              <w:rPr>
                <w:rFonts w:eastAsia="Arial" w:cs="Arial" w:ascii="Arial" w:hAnsi="Arial"/>
                <w:b/>
                <w:bCs/>
                <w:sz w:val="18"/>
                <w:szCs w:val="18"/>
              </w:rPr>
              <w:t>AMENDOIM NATURAL DESCASCADO</w:t>
            </w:r>
            <w:r>
              <w:rPr>
                <w:rFonts w:eastAsia="Arial" w:cs="Arial" w:ascii="Arial" w:hAnsi="Arial"/>
                <w:sz w:val="18"/>
                <w:szCs w:val="18"/>
              </w:rPr>
              <w:t>, SUBGRUPO: SELECIONADO, TIPO I. ACONDICIONADO: EMBALAGEM PLÁSTICA DE 500G, CONTENDO IDENTIFICAÇÃO DO PRODUTO DATA DE FABRICAÇÃO E PRAZO DE VALIDADE. VALIDADE MÍNIMA DE 06 MESES APÓS A ENTREGA.</w:t>
            </w:r>
          </w:p>
        </w:tc>
        <w:tc>
          <w:tcPr>
            <w:tcW w:w="851"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200 Pct</w:t>
            </w:r>
          </w:p>
        </w:tc>
        <w:tc>
          <w:tcPr>
            <w:tcW w:w="1134"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12,37</w:t>
            </w:r>
          </w:p>
        </w:tc>
        <w:tc>
          <w:tcPr>
            <w:tcW w:w="1419"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2.474,00</w:t>
            </w:r>
          </w:p>
        </w:tc>
      </w:tr>
      <w:tr>
        <w:trPr>
          <w:trHeight w:val="269" w:hRule="atLeast"/>
        </w:trPr>
        <w:tc>
          <w:tcPr>
            <w:tcW w:w="55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37</w:t>
            </w:r>
          </w:p>
        </w:tc>
        <w:tc>
          <w:tcPr>
            <w:tcW w:w="637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both"/>
              <w:rPr>
                <w:rFonts w:ascii="Arial" w:hAnsi="Arial" w:eastAsia="Arial" w:cs="Arial"/>
                <w:sz w:val="18"/>
                <w:szCs w:val="18"/>
              </w:rPr>
            </w:pPr>
            <w:r>
              <w:rPr>
                <w:rFonts w:eastAsia="Arial" w:cs="Arial" w:ascii="Arial" w:hAnsi="Arial"/>
                <w:b/>
                <w:bCs/>
                <w:sz w:val="18"/>
                <w:szCs w:val="18"/>
              </w:rPr>
              <w:t>UVA-PASSA DESIDRATADA</w:t>
            </w:r>
            <w:r>
              <w:rPr>
                <w:rFonts w:eastAsia="Arial" w:cs="Arial" w:ascii="Arial" w:hAnsi="Arial"/>
                <w:sz w:val="18"/>
                <w:szCs w:val="18"/>
              </w:rPr>
              <w:t xml:space="preserve">, BRANCA, SEM SEMENTE, LIVRE DE FUNGOS; EMBALAGEM FECHADA E ROTULADA CONFORME LEGISLAÇÃO VIGENTE. </w:t>
            </w:r>
            <w:r>
              <w:rPr>
                <w:rFonts w:eastAsia="Arial" w:cs="Arial" w:ascii="Arial" w:hAnsi="Arial"/>
                <w:b/>
                <w:bCs/>
                <w:sz w:val="18"/>
                <w:szCs w:val="18"/>
              </w:rPr>
              <w:t>PACOTE CONTENDO 200G</w:t>
            </w:r>
            <w:r>
              <w:rPr>
                <w:rFonts w:eastAsia="Arial" w:cs="Arial" w:ascii="Arial" w:hAnsi="Arial"/>
                <w:sz w:val="18"/>
                <w:szCs w:val="18"/>
              </w:rPr>
              <w:t>.  DATA DE VALIDADE MÍNIMA DE 6 MESES APÓS A ENTREGA.</w:t>
            </w:r>
          </w:p>
        </w:tc>
        <w:tc>
          <w:tcPr>
            <w:tcW w:w="851"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80Kg</w:t>
            </w:r>
          </w:p>
        </w:tc>
        <w:tc>
          <w:tcPr>
            <w:tcW w:w="1134"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55,90</w:t>
            </w:r>
          </w:p>
        </w:tc>
        <w:tc>
          <w:tcPr>
            <w:tcW w:w="1419"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4.472,00</w:t>
            </w:r>
          </w:p>
        </w:tc>
      </w:tr>
      <w:tr>
        <w:trPr>
          <w:trHeight w:val="269" w:hRule="atLeast"/>
        </w:trPr>
        <w:tc>
          <w:tcPr>
            <w:tcW w:w="55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38</w:t>
            </w:r>
          </w:p>
        </w:tc>
        <w:tc>
          <w:tcPr>
            <w:tcW w:w="6377"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both"/>
              <w:rPr>
                <w:rFonts w:ascii="Arial" w:hAnsi="Arial" w:eastAsia="Arial" w:cs="Arial"/>
                <w:sz w:val="18"/>
                <w:szCs w:val="18"/>
              </w:rPr>
            </w:pPr>
            <w:r>
              <w:rPr>
                <w:rFonts w:eastAsia="Arial" w:cs="Arial" w:ascii="Arial" w:hAnsi="Arial"/>
                <w:b/>
                <w:bCs/>
                <w:sz w:val="18"/>
                <w:szCs w:val="18"/>
              </w:rPr>
              <w:t xml:space="preserve">BEBIDA VEGETAL À BASE DE SOJA, TIPO UHT, </w:t>
            </w:r>
            <w:r>
              <w:rPr>
                <w:rFonts w:eastAsia="Arial" w:cs="Arial" w:ascii="Arial" w:hAnsi="Arial"/>
                <w:sz w:val="18"/>
                <w:szCs w:val="18"/>
              </w:rPr>
              <w:t>SABOR ORIGINAL, PRONTA PARA CONSUMO, ACONDICIONADA EM EMBALAGEM LONGA VIDA TIPO TETRA PAK, ÍNTEGRA, ATÓXICA E LACRADA, CONTENDO 1 LITRO; INGREDIENTES:  ÁGUA, GRÃOS DE SOJA, AÇÚCAR INVERTIDO, MINERAIS (CÁLCIO E ZINCO), AÇÚCAR, SAL, VITAMINAS (E, B6, A, ÁCIDO FÓLICO, D E B12), AROMATIZANTE, ESTABILIZANTES: CITRATO DE SÓDIO, GOMA GELANA E GOMA XANTANA, EMULSIFICANTE LECITINA DE SOJA E EDULCORANTE SUCRALOSE.  ALÉRGICOS: CONTÉM SOJA E DERIVADOS. NÃO CONTÉM GLÚTEN.</w:t>
            </w:r>
          </w:p>
        </w:tc>
        <w:tc>
          <w:tcPr>
            <w:tcW w:w="851"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180Un</w:t>
            </w:r>
          </w:p>
        </w:tc>
        <w:tc>
          <w:tcPr>
            <w:tcW w:w="1134"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8,99</w:t>
            </w:r>
          </w:p>
        </w:tc>
        <w:tc>
          <w:tcPr>
            <w:tcW w:w="1419"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1.618,20</w:t>
            </w:r>
          </w:p>
        </w:tc>
      </w:tr>
      <w:tr>
        <w:trPr>
          <w:trHeight w:val="510" w:hRule="atLeast"/>
        </w:trPr>
        <w:tc>
          <w:tcPr>
            <w:tcW w:w="8919" w:type="dxa"/>
            <w:gridSpan w:val="4"/>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right"/>
              <w:rPr>
                <w:rFonts w:ascii="Arial" w:hAnsi="Arial" w:eastAsia="Arial" w:cs="Arial"/>
                <w:b/>
                <w:sz w:val="16"/>
                <w:szCs w:val="16"/>
              </w:rPr>
            </w:pPr>
            <w:r>
              <w:rPr>
                <w:rFonts w:eastAsia="Arial" w:cs="Arial" w:ascii="Arial" w:hAnsi="Arial"/>
                <w:b/>
                <w:sz w:val="16"/>
                <w:szCs w:val="16"/>
              </w:rPr>
              <w:t>TOTAL</w:t>
            </w:r>
          </w:p>
        </w:tc>
        <w:tc>
          <w:tcPr>
            <w:tcW w:w="1419"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ind w:left="90"/>
              <w:jc w:val="center"/>
              <w:rPr>
                <w:rFonts w:ascii="Arial" w:hAnsi="Arial" w:eastAsia="Arial" w:cs="Arial"/>
                <w:b/>
              </w:rPr>
            </w:pPr>
            <w:r>
              <w:rPr>
                <w:rFonts w:eastAsia="Arial" w:cs="Arial" w:ascii="Arial" w:hAnsi="Arial"/>
                <w:b/>
              </w:rPr>
              <w:t>1.210.240,97</w:t>
            </w:r>
          </w:p>
        </w:tc>
      </w:tr>
    </w:tbl>
    <w:p>
      <w:pPr>
        <w:pStyle w:val="Normal"/>
        <w:spacing w:lineRule="auto" w:line="240"/>
        <w:jc w:val="both"/>
        <w:rPr>
          <w:rFonts w:ascii="Verdana" w:hAnsi="Verdana"/>
          <w:b/>
          <w:sz w:val="20"/>
          <w:szCs w:val="20"/>
        </w:rPr>
      </w:pPr>
      <w:r>
        <w:rPr>
          <w:rFonts w:ascii="Verdana" w:hAnsi="Verdana"/>
          <w:b/>
          <w:sz w:val="20"/>
          <w:szCs w:val="20"/>
        </w:rPr>
      </w:r>
    </w:p>
    <w:p>
      <w:pPr>
        <w:pStyle w:val="Normal"/>
        <w:spacing w:lineRule="auto" w:line="240"/>
        <w:jc w:val="both"/>
        <w:rPr/>
      </w:pPr>
      <w:r>
        <w:rPr>
          <w:rFonts w:ascii="Verdana" w:hAnsi="Verdana"/>
          <w:b/>
          <w:sz w:val="20"/>
          <w:szCs w:val="20"/>
        </w:rPr>
        <w:t>8. ESTIMATIVA DO VALOR DA CONTRATAÇÃO:</w:t>
      </w:r>
    </w:p>
    <w:p>
      <w:pPr>
        <w:pStyle w:val="Normal"/>
        <w:spacing w:lineRule="auto" w:line="240"/>
        <w:jc w:val="both"/>
        <w:rPr/>
      </w:pPr>
      <w:r>
        <w:rPr>
          <w:rFonts w:ascii="Verdana" w:hAnsi="Verdana"/>
          <w:b/>
          <w:sz w:val="20"/>
          <w:szCs w:val="20"/>
        </w:rPr>
        <w:t xml:space="preserve">8.1 </w:t>
      </w:r>
      <w:r>
        <w:rPr>
          <w:rFonts w:ascii="Verdana" w:hAnsi="Verdana"/>
          <w:sz w:val="20"/>
          <w:szCs w:val="20"/>
        </w:rPr>
        <w:t>O valor estimado da contratação em tela é de</w:t>
      </w:r>
      <w:r>
        <w:rPr>
          <w:rFonts w:ascii="Verdana" w:hAnsi="Verdana"/>
          <w:b/>
          <w:sz w:val="20"/>
          <w:szCs w:val="20"/>
        </w:rPr>
        <w:t xml:space="preserve"> R$1.210.240,97 </w:t>
      </w:r>
      <w:r>
        <w:rPr>
          <w:rFonts w:ascii="Verdana" w:hAnsi="Verdana"/>
          <w:sz w:val="20"/>
          <w:szCs w:val="20"/>
        </w:rPr>
        <w:t>constante na planilha anterior.</w:t>
      </w:r>
    </w:p>
    <w:p>
      <w:pPr>
        <w:pStyle w:val="Normal"/>
        <w:spacing w:lineRule="auto" w:line="240"/>
        <w:jc w:val="both"/>
        <w:rPr/>
      </w:pPr>
      <w:r>
        <w:rPr>
          <w:rFonts w:ascii="Verdana" w:hAnsi="Verdana"/>
          <w:b/>
          <w:sz w:val="20"/>
          <w:szCs w:val="20"/>
        </w:rPr>
        <w:t>8.2</w:t>
      </w:r>
      <w:r>
        <w:rPr>
          <w:rFonts w:ascii="Verdana" w:hAnsi="Verdana"/>
          <w:sz w:val="20"/>
          <w:szCs w:val="20"/>
        </w:rPr>
        <w:t xml:space="preserve"> </w:t>
      </w:r>
      <w:r>
        <w:rPr>
          <w:rFonts w:ascii="Verdana" w:hAnsi="Verdana"/>
          <w:color w:val="000000"/>
          <w:sz w:val="20"/>
          <w:szCs w:val="20"/>
        </w:rPr>
        <w:t>Conforme preceitua o Decreto n° 3.268/2022 que regulamenta o Procedimento Administrativo para Pesquisa de Preço para Aquisição de Bens e Contratação de Serviços em Geral, no Âmbito da Administração Pública Direta e Indireta do Município de São Gabriel da Palha-ES.</w:t>
      </w:r>
    </w:p>
    <w:p>
      <w:pPr>
        <w:pStyle w:val="Normal"/>
        <w:spacing w:lineRule="auto" w:line="240"/>
        <w:jc w:val="both"/>
        <w:rPr/>
      </w:pPr>
      <w:r>
        <w:rPr>
          <w:rFonts w:ascii="Verdana" w:hAnsi="Verdana"/>
          <w:b/>
          <w:sz w:val="20"/>
          <w:szCs w:val="20"/>
        </w:rPr>
        <w:t>8</w:t>
      </w:r>
      <w:r>
        <w:rPr>
          <w:rFonts w:ascii="Verdana" w:hAnsi="Verdana"/>
          <w:b/>
          <w:color w:val="000000"/>
          <w:sz w:val="20"/>
          <w:szCs w:val="20"/>
        </w:rPr>
        <w:t>.</w:t>
      </w:r>
      <w:r>
        <w:rPr>
          <w:rFonts w:ascii="Verdana" w:hAnsi="Verdana"/>
          <w:b/>
          <w:sz w:val="20"/>
          <w:szCs w:val="20"/>
        </w:rPr>
        <w:t>3</w:t>
      </w:r>
      <w:r>
        <w:rPr>
          <w:rFonts w:ascii="Verdana" w:hAnsi="Verdana"/>
          <w:b/>
          <w:color w:val="000000"/>
          <w:sz w:val="20"/>
          <w:szCs w:val="20"/>
        </w:rPr>
        <w:t xml:space="preserve">. </w:t>
      </w:r>
      <w:r>
        <w:rPr>
          <w:rFonts w:ascii="Verdana" w:hAnsi="Verdana"/>
          <w:color w:val="000000"/>
          <w:sz w:val="20"/>
          <w:szCs w:val="20"/>
        </w:rPr>
        <w:t xml:space="preserve">Conforme </w:t>
      </w:r>
      <w:r>
        <w:rPr>
          <w:rFonts w:ascii="Verdana" w:hAnsi="Verdana"/>
          <w:sz w:val="20"/>
          <w:szCs w:val="20"/>
        </w:rPr>
        <w:t xml:space="preserve">os requisitos estabelecidos para a contratação, foi realizada pesquisa de mercado no Mercado Local e </w:t>
      </w:r>
      <w:hyperlink r:id="rId2">
        <w:r>
          <w:rPr>
            <w:rStyle w:val="Hyperlink"/>
            <w:rFonts w:ascii="Verdana" w:hAnsi="Verdana"/>
            <w:sz w:val="20"/>
            <w:szCs w:val="20"/>
          </w:rPr>
          <w:t>https://pncp.gov.br/</w:t>
        </w:r>
      </w:hyperlink>
      <w:r>
        <w:rPr>
          <w:rFonts w:ascii="Verdana" w:hAnsi="Verdana"/>
          <w:sz w:val="20"/>
          <w:szCs w:val="20"/>
        </w:rPr>
        <w:t xml:space="preserve"> para mapear as soluções disponíveis.</w:t>
      </w:r>
    </w:p>
    <w:p>
      <w:pPr>
        <w:pStyle w:val="Normal"/>
        <w:spacing w:lineRule="auto" w:line="240"/>
        <w:jc w:val="both"/>
        <w:rPr>
          <w:rFonts w:ascii="Verdana" w:hAnsi="Verdana"/>
          <w:b/>
          <w:sz w:val="20"/>
          <w:szCs w:val="20"/>
        </w:rPr>
      </w:pPr>
      <w:r>
        <w:rPr>
          <w:rFonts w:ascii="Verdana" w:hAnsi="Verdana"/>
          <w:b/>
          <w:sz w:val="20"/>
          <w:szCs w:val="20"/>
        </w:rPr>
      </w:r>
    </w:p>
    <w:p>
      <w:pPr>
        <w:pStyle w:val="Normal"/>
        <w:spacing w:lineRule="auto" w:line="240"/>
        <w:jc w:val="both"/>
        <w:rPr/>
      </w:pPr>
      <w:r>
        <w:rPr>
          <w:rFonts w:ascii="Verdana" w:hAnsi="Verdana"/>
          <w:b/>
          <w:sz w:val="20"/>
          <w:szCs w:val="20"/>
        </w:rPr>
        <w:t>9. DESCRIÇÃO DA SOLUÇÃO COMO UM TODO</w:t>
      </w:r>
    </w:p>
    <w:p>
      <w:pPr>
        <w:pStyle w:val="Normal"/>
        <w:spacing w:lineRule="auto" w:line="240"/>
        <w:jc w:val="both"/>
        <w:rPr/>
      </w:pPr>
      <w:r>
        <w:rPr>
          <w:rFonts w:ascii="Verdana" w:hAnsi="Verdana"/>
          <w:b/>
          <w:sz w:val="20"/>
          <w:szCs w:val="20"/>
        </w:rPr>
        <w:t>9.1</w:t>
      </w:r>
      <w:r>
        <w:rPr>
          <w:rFonts w:ascii="Verdana" w:hAnsi="Verdana"/>
          <w:sz w:val="20"/>
          <w:szCs w:val="20"/>
        </w:rPr>
        <w:t xml:space="preserve"> A solução a ser adotada consiste na aquisição de gêneros alimentícios por meio de </w:t>
      </w:r>
      <w:r>
        <w:rPr>
          <w:rFonts w:ascii="Verdana" w:hAnsi="Verdana"/>
          <w:b/>
          <w:sz w:val="20"/>
          <w:szCs w:val="20"/>
        </w:rPr>
        <w:t>pregão eletrônico</w:t>
      </w:r>
      <w:r>
        <w:rPr>
          <w:rFonts w:ascii="Verdana" w:hAnsi="Verdana"/>
          <w:sz w:val="20"/>
          <w:szCs w:val="20"/>
        </w:rPr>
        <w:t>, para atender as necessidades das Escolas da Rede Pública Municipal através do Programa Nacional de Alimentação Escolar, da Secretaria Municipal de Educação.</w:t>
      </w:r>
    </w:p>
    <w:p>
      <w:pPr>
        <w:pStyle w:val="Normal"/>
        <w:spacing w:lineRule="auto" w:line="240"/>
        <w:jc w:val="both"/>
        <w:rPr>
          <w:rFonts w:ascii="Verdana" w:hAnsi="Verdana"/>
          <w:sz w:val="20"/>
          <w:szCs w:val="20"/>
        </w:rPr>
      </w:pPr>
      <w:r>
        <w:rPr>
          <w:rFonts w:ascii="Verdana" w:hAnsi="Verdana"/>
          <w:sz w:val="20"/>
          <w:szCs w:val="20"/>
        </w:rPr>
      </w:r>
    </w:p>
    <w:p>
      <w:pPr>
        <w:pStyle w:val="Normal"/>
        <w:spacing w:lineRule="auto" w:line="240"/>
        <w:jc w:val="both"/>
        <w:rPr/>
      </w:pPr>
      <w:r>
        <w:rPr>
          <w:rFonts w:ascii="Verdana" w:hAnsi="Verdana"/>
          <w:b/>
          <w:sz w:val="20"/>
          <w:szCs w:val="20"/>
        </w:rPr>
        <w:t>10.</w:t>
      </w:r>
      <w:r>
        <w:rPr>
          <w:rFonts w:ascii="Verdana" w:hAnsi="Verdana"/>
          <w:sz w:val="20"/>
          <w:szCs w:val="20"/>
        </w:rPr>
        <w:t xml:space="preserve"> </w:t>
      </w:r>
      <w:r>
        <w:rPr>
          <w:rFonts w:ascii="Verdana" w:hAnsi="Verdana"/>
          <w:b/>
          <w:sz w:val="20"/>
          <w:szCs w:val="20"/>
        </w:rPr>
        <w:t xml:space="preserve"> ENTREGA E CRITÉRIOS DE ACEITAÇÃO DO OBJETO</w:t>
      </w:r>
    </w:p>
    <w:p>
      <w:pPr>
        <w:pStyle w:val="Normal"/>
        <w:spacing w:lineRule="auto" w:line="240"/>
        <w:ind w:left="110"/>
        <w:jc w:val="both"/>
        <w:rPr/>
      </w:pPr>
      <w:r>
        <w:rPr>
          <w:rFonts w:ascii="Verdana" w:hAnsi="Verdana"/>
          <w:b/>
          <w:sz w:val="20"/>
          <w:szCs w:val="20"/>
        </w:rPr>
        <w:t>a)</w:t>
      </w:r>
      <w:r>
        <w:rPr>
          <w:rFonts w:ascii="Verdana" w:hAnsi="Verdana"/>
          <w:sz w:val="20"/>
          <w:szCs w:val="20"/>
        </w:rPr>
        <w:t xml:space="preserve"> Os </w:t>
      </w:r>
      <w:r>
        <w:rPr>
          <w:rFonts w:ascii="Verdana" w:hAnsi="Verdana"/>
          <w:b/>
          <w:sz w:val="20"/>
          <w:szCs w:val="20"/>
        </w:rPr>
        <w:t>gêneros perecíveis</w:t>
      </w:r>
      <w:r>
        <w:rPr>
          <w:rFonts w:ascii="Verdana" w:hAnsi="Verdana"/>
          <w:sz w:val="20"/>
          <w:szCs w:val="20"/>
        </w:rPr>
        <w:t xml:space="preserve"> deverão ser apresentados no depósito do SEMAE, localizado na Rua Eli Cardoso, s/nº, Bairro Santa Cecília (Escola Irmã Adelaide Bertocchi - Polivalente), nesta cidade, juntamente com a Nota Fiscal para avaliação da qualidade e conferência do item com a descrição solicitada no Edital de Licitação; após, serão liberados para serem entregues diretamente nas escolas conforme cronogramas de entrega;</w:t>
      </w:r>
    </w:p>
    <w:p>
      <w:pPr>
        <w:pStyle w:val="Normal"/>
        <w:spacing w:lineRule="auto" w:line="240"/>
        <w:ind w:left="110"/>
        <w:jc w:val="both"/>
        <w:rPr/>
      </w:pPr>
      <w:r>
        <w:rPr>
          <w:rFonts w:ascii="Verdana" w:hAnsi="Verdana"/>
          <w:b/>
          <w:sz w:val="20"/>
          <w:szCs w:val="20"/>
        </w:rPr>
        <w:t>b)</w:t>
      </w:r>
      <w:r>
        <w:rPr>
          <w:rFonts w:ascii="Verdana" w:hAnsi="Verdana"/>
          <w:sz w:val="20"/>
          <w:szCs w:val="20"/>
        </w:rPr>
        <w:t xml:space="preserve">Os </w:t>
      </w:r>
      <w:r>
        <w:rPr>
          <w:rFonts w:ascii="Verdana" w:hAnsi="Verdana"/>
          <w:b/>
          <w:sz w:val="20"/>
          <w:szCs w:val="20"/>
        </w:rPr>
        <w:t>gêneros não perecíveis</w:t>
      </w:r>
      <w:r>
        <w:rPr>
          <w:rFonts w:ascii="Verdana" w:hAnsi="Verdana"/>
          <w:sz w:val="20"/>
          <w:szCs w:val="20"/>
        </w:rPr>
        <w:t xml:space="preserve"> deverão ser entregues diretamente no depósito do SEMAE, localizado na Rua Eli Cardoso, s/nº, Bairro Santa Cecília - (Escola Irmã Adelaide Bertocchi - Polivalente), nesta cidade, juntamente com a Nota Fiscal conforme cronograma de entrega.</w:t>
      </w:r>
    </w:p>
    <w:p>
      <w:pPr>
        <w:pStyle w:val="Normal"/>
        <w:spacing w:lineRule="auto" w:line="240"/>
        <w:ind w:left="110"/>
        <w:jc w:val="both"/>
        <w:rPr/>
      </w:pPr>
      <w:r>
        <w:rPr>
          <w:rFonts w:ascii="Verdana" w:hAnsi="Verdana"/>
          <w:b/>
          <w:sz w:val="20"/>
          <w:szCs w:val="20"/>
        </w:rPr>
        <w:t>c)</w:t>
      </w:r>
      <w:r>
        <w:rPr>
          <w:rFonts w:ascii="Verdana" w:hAnsi="Verdana"/>
          <w:sz w:val="20"/>
          <w:szCs w:val="20"/>
        </w:rPr>
        <w:t>A entrega deverá ocorrer sem qualquer ônus adicional, bem como a descarga e todas as demais despesas provenientes da mesma.</w:t>
      </w:r>
    </w:p>
    <w:p>
      <w:pPr>
        <w:pStyle w:val="Normal"/>
        <w:spacing w:lineRule="auto" w:line="240"/>
        <w:ind w:left="110"/>
        <w:jc w:val="both"/>
        <w:rPr/>
      </w:pPr>
      <w:r>
        <w:rPr>
          <w:rFonts w:ascii="Verdana" w:hAnsi="Verdana"/>
          <w:b/>
          <w:sz w:val="20"/>
          <w:szCs w:val="20"/>
        </w:rPr>
        <w:t>d)</w:t>
      </w:r>
      <w:r>
        <w:rPr>
          <w:rFonts w:ascii="Verdana" w:hAnsi="Verdana"/>
          <w:sz w:val="20"/>
          <w:szCs w:val="20"/>
        </w:rPr>
        <w:t>A Empresa vencedora garantirá a qualidade dos materiais obrigando-se a repor aquele que apresentar defeito ou for entregue em desacordo com o apresentado na proposta.</w:t>
      </w:r>
    </w:p>
    <w:p>
      <w:pPr>
        <w:pStyle w:val="Normal"/>
        <w:spacing w:lineRule="auto" w:line="240"/>
        <w:ind w:left="110"/>
        <w:jc w:val="both"/>
        <w:rPr/>
      </w:pPr>
      <w:r>
        <w:rPr>
          <w:rFonts w:ascii="Verdana" w:hAnsi="Verdana"/>
          <w:b/>
          <w:sz w:val="20"/>
          <w:szCs w:val="20"/>
        </w:rPr>
        <w:t>e)</w:t>
      </w:r>
      <w:r>
        <w:rPr>
          <w:rFonts w:ascii="Verdana" w:hAnsi="Verdana"/>
          <w:sz w:val="20"/>
          <w:szCs w:val="20"/>
        </w:rPr>
        <w:t>Os itens deverão ser entregues dentro do horário de expediente do setor de alimentação escolar e das escolas sendo de 7h às 17h, observando feriados e pontos facultativos.</w:t>
      </w:r>
    </w:p>
    <w:p>
      <w:pPr>
        <w:pStyle w:val="Normal"/>
        <w:spacing w:lineRule="auto" w:line="240"/>
        <w:ind w:left="110"/>
        <w:jc w:val="both"/>
        <w:rPr/>
      </w:pPr>
      <w:r>
        <w:rPr>
          <w:rFonts w:ascii="Verdana" w:hAnsi="Verdana"/>
          <w:b/>
          <w:sz w:val="20"/>
          <w:szCs w:val="20"/>
        </w:rPr>
        <w:t>f)</w:t>
      </w:r>
      <w:r>
        <w:rPr>
          <w:rFonts w:ascii="Verdana" w:hAnsi="Verdana"/>
          <w:sz w:val="20"/>
          <w:szCs w:val="20"/>
        </w:rPr>
        <w:t xml:space="preserve">A Empresa vencedora garantirá a qualidade dos itens obrigando-se a repor aquele que for entregue em desacordo com o apresentado na proposta; </w:t>
      </w:r>
    </w:p>
    <w:p>
      <w:pPr>
        <w:pStyle w:val="Normal"/>
        <w:spacing w:lineRule="auto" w:line="240"/>
        <w:ind w:left="110"/>
        <w:jc w:val="both"/>
        <w:rPr/>
      </w:pPr>
      <w:r>
        <w:rPr>
          <w:rFonts w:ascii="Verdana" w:hAnsi="Verdana"/>
          <w:b/>
          <w:sz w:val="20"/>
          <w:szCs w:val="20"/>
        </w:rPr>
        <w:t>g)</w:t>
      </w:r>
      <w:r>
        <w:rPr>
          <w:rFonts w:ascii="Verdana" w:hAnsi="Verdana"/>
          <w:sz w:val="20"/>
          <w:szCs w:val="20"/>
        </w:rPr>
        <w:t>Os itens deverão ser entregues nas mesmas marcas indicadas nas propostas de preços vencedoras do certame e especificações constantes nas solicitações de compras.</w:t>
      </w:r>
    </w:p>
    <w:p>
      <w:pPr>
        <w:pStyle w:val="Normal"/>
        <w:spacing w:lineRule="auto" w:line="240"/>
        <w:ind w:left="110"/>
        <w:jc w:val="both"/>
        <w:rPr/>
      </w:pPr>
      <w:r>
        <w:rPr>
          <w:rFonts w:ascii="Verdana" w:hAnsi="Verdana"/>
          <w:b/>
          <w:sz w:val="20"/>
          <w:szCs w:val="20"/>
        </w:rPr>
        <w:t>h)</w:t>
      </w:r>
      <w:r>
        <w:rPr>
          <w:rFonts w:ascii="Verdana" w:hAnsi="Verdana"/>
          <w:sz w:val="20"/>
          <w:szCs w:val="20"/>
        </w:rPr>
        <w:t>O recebimento provisório dos itens entregues dar-se-á pela conferência com a descrição constante da ordem de fornecimento ou serviço;</w:t>
      </w:r>
    </w:p>
    <w:p>
      <w:pPr>
        <w:pStyle w:val="Normal"/>
        <w:spacing w:lineRule="auto" w:line="240"/>
        <w:ind w:left="110"/>
        <w:jc w:val="both"/>
        <w:rPr/>
      </w:pPr>
      <w:r>
        <w:rPr>
          <w:rFonts w:ascii="Verdana" w:hAnsi="Verdana"/>
          <w:b/>
          <w:sz w:val="20"/>
          <w:szCs w:val="20"/>
        </w:rPr>
        <w:t>i)</w:t>
      </w:r>
      <w:r>
        <w:rPr>
          <w:rFonts w:ascii="Verdana" w:hAnsi="Verdana"/>
          <w:sz w:val="20"/>
          <w:szCs w:val="20"/>
        </w:rPr>
        <w:t>O recebimento definitivo ocorrerá com a verificação integral de todos os itens e características do produto fornecido pela CONTRATADA;</w:t>
      </w:r>
    </w:p>
    <w:p>
      <w:pPr>
        <w:pStyle w:val="Normal"/>
        <w:spacing w:lineRule="auto" w:line="240"/>
        <w:ind w:left="110"/>
        <w:jc w:val="both"/>
        <w:rPr/>
      </w:pPr>
      <w:r>
        <w:rPr>
          <w:rFonts w:ascii="Verdana" w:hAnsi="Verdana"/>
          <w:b/>
          <w:sz w:val="20"/>
          <w:szCs w:val="20"/>
        </w:rPr>
        <w:t>j)</w:t>
      </w:r>
      <w:r>
        <w:rPr>
          <w:rFonts w:ascii="Verdana" w:hAnsi="Verdana"/>
          <w:sz w:val="20"/>
          <w:szCs w:val="20"/>
        </w:rPr>
        <w:t>O recebimento definitivo não isenta a CONTRATADA de responsabilidades futuras quanto à qualidade dos fornecimentos e serviços prestados.</w:t>
      </w:r>
    </w:p>
    <w:p>
      <w:pPr>
        <w:pStyle w:val="Normal"/>
        <w:spacing w:lineRule="auto" w:line="240"/>
        <w:ind w:left="110"/>
        <w:jc w:val="both"/>
        <w:rPr/>
      </w:pPr>
      <w:r>
        <w:rPr>
          <w:rFonts w:ascii="Verdana" w:hAnsi="Verdana"/>
          <w:b/>
          <w:sz w:val="20"/>
          <w:szCs w:val="20"/>
        </w:rPr>
        <w:t>k)</w:t>
      </w:r>
      <w:r>
        <w:rPr>
          <w:rFonts w:ascii="Verdana" w:hAnsi="Verdana"/>
          <w:sz w:val="20"/>
          <w:szCs w:val="20"/>
        </w:rPr>
        <w:t>O recebimento provisório dos produtos não implica em aceitação dos mesmos;</w:t>
      </w:r>
    </w:p>
    <w:p>
      <w:pPr>
        <w:pStyle w:val="Normal"/>
        <w:spacing w:lineRule="auto" w:line="240"/>
        <w:ind w:left="110"/>
        <w:jc w:val="both"/>
        <w:rPr/>
      </w:pPr>
      <w:r>
        <w:rPr>
          <w:rFonts w:ascii="Verdana" w:hAnsi="Verdana"/>
          <w:b/>
          <w:sz w:val="20"/>
          <w:szCs w:val="20"/>
        </w:rPr>
        <w:t>l)</w:t>
      </w:r>
      <w:r>
        <w:rPr>
          <w:rFonts w:ascii="Verdana" w:hAnsi="Verdana"/>
          <w:sz w:val="20"/>
          <w:szCs w:val="20"/>
        </w:rPr>
        <w:t>Os produtos que não estiverem de acordo com as especificações exigidas, ou impropriedade para o uso, serão recusadas e devolvidas parcial ou totalmente, conforme caso, ficando a CONTRATADA, obrigada a substituí-los no prazo de 5 (cinco) dias úteis, contadas do recebimento da notificação escrita, sob pena de incorrer em atraso quanto ao prazo de execução;</w:t>
      </w:r>
    </w:p>
    <w:p>
      <w:pPr>
        <w:pStyle w:val="Normal"/>
        <w:spacing w:lineRule="auto" w:line="240"/>
        <w:ind w:left="110"/>
        <w:jc w:val="both"/>
        <w:rPr/>
      </w:pPr>
      <w:r>
        <w:rPr>
          <w:rFonts w:ascii="Verdana" w:hAnsi="Verdana"/>
          <w:b/>
          <w:sz w:val="20"/>
          <w:szCs w:val="20"/>
        </w:rPr>
        <w:t>m)</w:t>
      </w:r>
      <w:r>
        <w:rPr>
          <w:rFonts w:ascii="Verdana" w:hAnsi="Verdana"/>
          <w:sz w:val="20"/>
          <w:szCs w:val="20"/>
        </w:rPr>
        <w:t>Havendo erro na Nota Fiscal ou outra circunstância impeditiva, o recebimento definitivo será suspenso, até que a empresa tome as medidas saneadoras necessárias;</w:t>
      </w:r>
    </w:p>
    <w:p>
      <w:pPr>
        <w:pStyle w:val="Normal"/>
        <w:spacing w:lineRule="auto" w:line="240"/>
        <w:ind w:left="110"/>
        <w:jc w:val="both"/>
        <w:rPr>
          <w:rFonts w:ascii="Verdana" w:hAnsi="Verdana"/>
          <w:sz w:val="20"/>
          <w:szCs w:val="20"/>
        </w:rPr>
      </w:pPr>
      <w:r>
        <w:rPr>
          <w:rFonts w:ascii="Verdana" w:hAnsi="Verdana"/>
          <w:sz w:val="20"/>
          <w:szCs w:val="20"/>
        </w:rPr>
      </w:r>
    </w:p>
    <w:p>
      <w:pPr>
        <w:pStyle w:val="Normal"/>
        <w:spacing w:lineRule="auto" w:line="240"/>
        <w:ind w:left="110"/>
        <w:jc w:val="both"/>
        <w:rPr/>
      </w:pPr>
      <w:r>
        <w:rPr>
          <w:rFonts w:ascii="Verdana" w:hAnsi="Verdana"/>
          <w:b/>
          <w:sz w:val="20"/>
          <w:szCs w:val="20"/>
        </w:rPr>
        <w:t>10.1 DAS AMOSTRAS</w:t>
      </w:r>
    </w:p>
    <w:p>
      <w:pPr>
        <w:pStyle w:val="Normal"/>
        <w:spacing w:lineRule="auto" w:line="240"/>
        <w:ind w:left="110"/>
        <w:jc w:val="both"/>
        <w:rPr/>
      </w:pPr>
      <w:r>
        <w:rPr>
          <w:rFonts w:ascii="Verdana" w:hAnsi="Verdana"/>
          <w:b/>
          <w:sz w:val="20"/>
          <w:szCs w:val="20"/>
        </w:rPr>
        <w:t>a)</w:t>
      </w:r>
      <w:r>
        <w:rPr>
          <w:rFonts w:ascii="Verdana" w:hAnsi="Verdana"/>
          <w:sz w:val="20"/>
          <w:szCs w:val="20"/>
        </w:rPr>
        <w:t>As amostras deverão ser apresentadas em no Máximo 2 (dois) dias úteis após o certame licitatório, podendo o prazo ser prorrogado ou a entrega ser dispensada, a pedido da contratante, desde que através de solicitação devidamente justificada e aceita;</w:t>
      </w:r>
    </w:p>
    <w:p>
      <w:pPr>
        <w:pStyle w:val="Normal"/>
        <w:spacing w:lineRule="auto" w:line="240"/>
        <w:ind w:left="110"/>
        <w:jc w:val="both"/>
        <w:rPr/>
      </w:pPr>
      <w:r>
        <w:rPr>
          <w:rFonts w:ascii="Verdana" w:hAnsi="Verdana"/>
          <w:b/>
          <w:sz w:val="20"/>
          <w:szCs w:val="20"/>
        </w:rPr>
        <w:t>b)</w:t>
      </w:r>
      <w:r>
        <w:rPr>
          <w:rFonts w:ascii="Verdana" w:hAnsi="Verdana"/>
          <w:sz w:val="20"/>
          <w:szCs w:val="20"/>
        </w:rPr>
        <w:t>Os produtos apresentados como amostras poderão ser abertos, manuseados e consumidos;</w:t>
      </w:r>
    </w:p>
    <w:p>
      <w:pPr>
        <w:pStyle w:val="Normal"/>
        <w:spacing w:lineRule="auto" w:line="240"/>
        <w:ind w:left="110"/>
        <w:jc w:val="both"/>
        <w:rPr/>
      </w:pPr>
      <w:r>
        <w:rPr>
          <w:rFonts w:ascii="Verdana" w:hAnsi="Verdana"/>
          <w:b/>
          <w:sz w:val="20"/>
          <w:szCs w:val="20"/>
        </w:rPr>
        <w:t>c)</w:t>
      </w:r>
      <w:r>
        <w:rPr>
          <w:rFonts w:ascii="Verdana" w:hAnsi="Verdana"/>
          <w:sz w:val="20"/>
          <w:szCs w:val="20"/>
        </w:rPr>
        <w:t>A amostra apresentada, não será em hipótese alguma, considerada como início de entrega dos gêneros;</w:t>
      </w:r>
    </w:p>
    <w:p>
      <w:pPr>
        <w:pStyle w:val="Normal"/>
        <w:spacing w:lineRule="auto" w:line="240"/>
        <w:ind w:left="110"/>
        <w:jc w:val="both"/>
        <w:rPr/>
      </w:pPr>
      <w:r>
        <w:rPr>
          <w:rFonts w:ascii="Verdana" w:hAnsi="Verdana"/>
          <w:b/>
          <w:sz w:val="20"/>
          <w:szCs w:val="20"/>
        </w:rPr>
        <w:t>d)</w:t>
      </w:r>
      <w:r>
        <w:rPr>
          <w:rFonts w:ascii="Verdana" w:hAnsi="Verdana"/>
          <w:sz w:val="20"/>
          <w:szCs w:val="20"/>
        </w:rPr>
        <w:t>As amostras serão avaliadas pela Comissão do Núcleo de Promoção da Qualidade da Alimentação Escolar, apresentando o resultado em laudo escrito que será enviado ao setor responsável para publicação do resultado da análise e convocação ou não do próximo colocado.</w:t>
      </w:r>
    </w:p>
    <w:p>
      <w:pPr>
        <w:pStyle w:val="Normal"/>
        <w:spacing w:lineRule="auto" w:line="240"/>
        <w:jc w:val="both"/>
        <w:rPr>
          <w:rFonts w:ascii="Verdana" w:hAnsi="Verdana"/>
          <w:sz w:val="20"/>
          <w:szCs w:val="20"/>
        </w:rPr>
      </w:pPr>
      <w:r>
        <w:rPr>
          <w:rFonts w:ascii="Verdana" w:hAnsi="Verdana"/>
          <w:sz w:val="20"/>
          <w:szCs w:val="20"/>
        </w:rPr>
      </w:r>
    </w:p>
    <w:p>
      <w:pPr>
        <w:pStyle w:val="Normal"/>
        <w:spacing w:lineRule="auto" w:line="240"/>
        <w:jc w:val="both"/>
        <w:rPr/>
      </w:pPr>
      <w:r>
        <w:rPr>
          <w:rFonts w:ascii="Verdana" w:hAnsi="Verdana"/>
          <w:b/>
          <w:color w:val="000000"/>
          <w:sz w:val="20"/>
          <w:szCs w:val="20"/>
        </w:rPr>
        <w:t>11. JUSTIFICATIVA PARA O PARCELAMENTO OU NÃO DA SOLUÇÃO</w:t>
      </w:r>
    </w:p>
    <w:p>
      <w:pPr>
        <w:pStyle w:val="Normal"/>
        <w:spacing w:lineRule="auto" w:line="240"/>
        <w:ind w:right="-425"/>
        <w:jc w:val="both"/>
        <w:rPr/>
      </w:pPr>
      <w:r>
        <w:rPr>
          <w:rFonts w:ascii="Verdana" w:hAnsi="Verdana"/>
          <w:b/>
          <w:sz w:val="20"/>
          <w:szCs w:val="20"/>
        </w:rPr>
        <w:t>a)</w:t>
      </w:r>
      <w:r>
        <w:rPr>
          <w:rFonts w:ascii="Verdana" w:hAnsi="Verdana"/>
          <w:sz w:val="20"/>
          <w:szCs w:val="20"/>
        </w:rPr>
        <w:t xml:space="preserve"> </w:t>
      </w:r>
      <w:r>
        <w:rPr>
          <w:rFonts w:ascii="Verdana" w:hAnsi="Verdana"/>
          <w:sz w:val="20"/>
          <w:szCs w:val="20"/>
          <w:highlight w:val="white"/>
        </w:rPr>
        <w:t xml:space="preserve">O objeto da contratação será composto por </w:t>
      </w:r>
      <w:r>
        <w:rPr>
          <w:rFonts w:ascii="Verdana" w:hAnsi="Verdana"/>
          <w:b/>
          <w:bCs/>
          <w:sz w:val="20"/>
          <w:szCs w:val="20"/>
          <w:highlight w:val="white"/>
        </w:rPr>
        <w:t>38</w:t>
      </w:r>
      <w:r>
        <w:rPr>
          <w:rFonts w:ascii="Verdana" w:hAnsi="Verdana"/>
          <w:b/>
          <w:sz w:val="20"/>
          <w:szCs w:val="20"/>
          <w:highlight w:val="white"/>
        </w:rPr>
        <w:t xml:space="preserve"> itens</w:t>
      </w:r>
      <w:r>
        <w:rPr>
          <w:rFonts w:ascii="Verdana" w:hAnsi="Verdana"/>
          <w:sz w:val="20"/>
          <w:szCs w:val="20"/>
          <w:highlight w:val="white"/>
        </w:rPr>
        <w:t>, de preço total estimado orçado pela Educação no valor</w:t>
      </w:r>
      <w:r>
        <w:rPr>
          <w:rFonts w:ascii="Verdana" w:hAnsi="Verdana"/>
          <w:b/>
          <w:sz w:val="20"/>
          <w:szCs w:val="20"/>
          <w:highlight w:val="white"/>
        </w:rPr>
        <w:t xml:space="preserve"> </w:t>
      </w:r>
      <w:r>
        <w:rPr>
          <w:rFonts w:ascii="Verdana" w:hAnsi="Verdana"/>
          <w:b/>
          <w:sz w:val="20"/>
          <w:szCs w:val="20"/>
        </w:rPr>
        <w:t>R$1.210.240,97</w:t>
      </w:r>
      <w:r>
        <w:rPr>
          <w:rFonts w:ascii="Verdana" w:hAnsi="Verdana"/>
          <w:b/>
          <w:sz w:val="20"/>
          <w:szCs w:val="20"/>
          <w:highlight w:val="white"/>
        </w:rPr>
        <w:t xml:space="preserve">. </w:t>
      </w:r>
      <w:r>
        <w:rPr>
          <w:rFonts w:ascii="Verdana" w:hAnsi="Verdana"/>
          <w:sz w:val="20"/>
          <w:szCs w:val="20"/>
          <w:highlight w:val="white"/>
        </w:rPr>
        <w:t xml:space="preserve">Para fins de classificação, será considerado o </w:t>
      </w:r>
      <w:r>
        <w:rPr>
          <w:rFonts w:ascii="Verdana" w:hAnsi="Verdana"/>
          <w:b/>
          <w:sz w:val="20"/>
          <w:szCs w:val="20"/>
          <w:highlight w:val="white"/>
        </w:rPr>
        <w:t>menor preço por item</w:t>
      </w:r>
      <w:r>
        <w:rPr>
          <w:rFonts w:ascii="Verdana" w:hAnsi="Verdana"/>
          <w:sz w:val="20"/>
          <w:szCs w:val="20"/>
          <w:highlight w:val="white"/>
        </w:rPr>
        <w:t>. Compete à administração buscar o menor dispêndio possível de recursos, assegurando a qualidade da prestação dos serviços, o que exige a escolha da solução mais adequada e eficiente dentre as diversas opções existentes já por ocasião da definição do objeto e das condições da aquisição, posto que seja essa descrição que impulsiona a seleção da proposta mais vantajosa.</w:t>
      </w:r>
    </w:p>
    <w:p>
      <w:pPr>
        <w:pStyle w:val="Normal"/>
        <w:spacing w:lineRule="auto" w:line="240"/>
        <w:ind w:right="-425"/>
        <w:jc w:val="both"/>
        <w:rPr/>
      </w:pPr>
      <w:r>
        <w:rPr>
          <w:rFonts w:ascii="Verdana" w:hAnsi="Verdana"/>
          <w:b/>
          <w:sz w:val="20"/>
          <w:szCs w:val="20"/>
        </w:rPr>
        <w:t xml:space="preserve">b) </w:t>
      </w:r>
      <w:r>
        <w:rPr>
          <w:rFonts w:ascii="Verdana" w:hAnsi="Verdana"/>
          <w:sz w:val="20"/>
          <w:szCs w:val="20"/>
        </w:rPr>
        <w:t xml:space="preserve">A contratação deverá ser parcelada </w:t>
      </w:r>
      <w:r>
        <w:rPr>
          <w:rFonts w:ascii="Verdana" w:hAnsi="Verdana"/>
          <w:i/>
          <w:iCs/>
          <w:sz w:val="20"/>
          <w:szCs w:val="20"/>
        </w:rPr>
        <w:t>conforme cronograma anexado aos autos</w:t>
      </w:r>
      <w:r>
        <w:rPr>
          <w:rFonts w:ascii="Verdana" w:hAnsi="Verdana"/>
          <w:sz w:val="20"/>
          <w:szCs w:val="20"/>
        </w:rPr>
        <w:t xml:space="preserve">, </w:t>
      </w:r>
      <w:r>
        <w:rPr>
          <w:rFonts w:ascii="Verdana" w:hAnsi="Verdana"/>
          <w:sz w:val="20"/>
          <w:szCs w:val="20"/>
          <w:highlight w:val="white"/>
        </w:rPr>
        <w:t>evitando desperdícios e garantindo que os alimentos cheguem aos alunos de forma mais organizada e eficiente evitando que grandes quantidades de produtos estraguem por falta de consumo. Isso contribui para a redução de desperdícios e a utilização mais eficiente dos recursos.</w:t>
      </w:r>
    </w:p>
    <w:p>
      <w:pPr>
        <w:pStyle w:val="Normal"/>
        <w:spacing w:lineRule="auto" w:line="240"/>
        <w:ind w:right="-425"/>
        <w:jc w:val="both"/>
        <w:rPr>
          <w:rFonts w:ascii="Verdana" w:hAnsi="Verdana"/>
          <w:sz w:val="20"/>
          <w:szCs w:val="20"/>
        </w:rPr>
      </w:pPr>
      <w:r>
        <w:rPr>
          <w:rFonts w:ascii="Verdana" w:hAnsi="Verdana"/>
          <w:sz w:val="20"/>
          <w:szCs w:val="20"/>
        </w:rPr>
      </w:r>
    </w:p>
    <w:p>
      <w:pPr>
        <w:pStyle w:val="Normal"/>
        <w:spacing w:lineRule="auto" w:line="240"/>
        <w:jc w:val="both"/>
        <w:rPr/>
      </w:pPr>
      <w:r>
        <w:rPr>
          <w:rFonts w:ascii="Verdana" w:hAnsi="Verdana"/>
          <w:b/>
          <w:sz w:val="20"/>
          <w:szCs w:val="20"/>
        </w:rPr>
        <w:t>12. RESULTADOS PRETENDIDOS COM A CONTRATAÇÃO</w:t>
      </w:r>
    </w:p>
    <w:p>
      <w:pPr>
        <w:pStyle w:val="Normal"/>
        <w:spacing w:lineRule="auto" w:line="240"/>
        <w:jc w:val="both"/>
        <w:rPr/>
      </w:pPr>
      <w:r>
        <w:rPr>
          <w:rFonts w:ascii="Verdana" w:hAnsi="Verdana"/>
          <w:b/>
          <w:sz w:val="20"/>
          <w:szCs w:val="20"/>
        </w:rPr>
        <w:t>12.1</w:t>
      </w:r>
      <w:r>
        <w:rPr>
          <w:rFonts w:ascii="Verdana" w:hAnsi="Verdana"/>
          <w:sz w:val="20"/>
          <w:szCs w:val="20"/>
        </w:rPr>
        <w:t xml:space="preserve"> Com a contratação, buscamos suprir as necessidades das Escolas Municipais através do Programa Nacional de Alimentação Escolar, a fim de mantermos os dias letivos com fornecimento de gêneros alimentícios de qualidade, fornecendo alimentação adequada aos alunos durante o período de aula.</w:t>
      </w:r>
    </w:p>
    <w:p>
      <w:pPr>
        <w:pStyle w:val="Normal"/>
        <w:spacing w:lineRule="auto" w:line="240"/>
        <w:ind w:right="-425"/>
        <w:jc w:val="both"/>
        <w:rPr>
          <w:rFonts w:ascii="Verdana" w:hAnsi="Verdana"/>
          <w:sz w:val="20"/>
          <w:szCs w:val="20"/>
        </w:rPr>
      </w:pPr>
      <w:r>
        <w:rPr>
          <w:rFonts w:ascii="Verdana" w:hAnsi="Verdana"/>
          <w:sz w:val="20"/>
          <w:szCs w:val="20"/>
        </w:rPr>
      </w:r>
    </w:p>
    <w:p>
      <w:pPr>
        <w:pStyle w:val="Normal"/>
        <w:spacing w:lineRule="auto" w:line="240"/>
        <w:jc w:val="both"/>
        <w:rPr/>
      </w:pPr>
      <w:r>
        <w:rPr>
          <w:rFonts w:ascii="Verdana" w:hAnsi="Verdana"/>
          <w:b/>
          <w:sz w:val="20"/>
          <w:szCs w:val="20"/>
        </w:rPr>
        <w:t>13. PROVIDÊNCIAS A SEREM ADOTADAS</w:t>
      </w:r>
    </w:p>
    <w:p>
      <w:pPr>
        <w:pStyle w:val="Normal"/>
        <w:spacing w:lineRule="auto" w:line="240"/>
        <w:jc w:val="both"/>
        <w:rPr/>
      </w:pPr>
      <w:r>
        <w:rPr>
          <w:rFonts w:ascii="Verdana" w:hAnsi="Verdana"/>
          <w:b/>
          <w:sz w:val="20"/>
          <w:szCs w:val="20"/>
        </w:rPr>
        <w:t>a)</w:t>
      </w:r>
      <w:r>
        <w:rPr>
          <w:rFonts w:ascii="Verdana" w:hAnsi="Verdana"/>
          <w:sz w:val="20"/>
          <w:szCs w:val="20"/>
        </w:rPr>
        <w:t>A Secretaria Municipal de Educação deverá acompanhar, fiscalizar, comprovar e relatar, por escrito, as eventuais irregularidades na execução dos serviços. Deverão ser nomeados quantidade de fiscais suficientes para um efetivo acompanhamento da execução do contrato.</w:t>
      </w:r>
    </w:p>
    <w:p>
      <w:pPr>
        <w:pStyle w:val="Normal"/>
        <w:spacing w:lineRule="auto" w:line="240"/>
        <w:jc w:val="both"/>
        <w:rPr/>
      </w:pPr>
      <w:r>
        <w:rPr>
          <w:rFonts w:ascii="Verdana" w:hAnsi="Verdana"/>
          <w:b/>
          <w:sz w:val="20"/>
          <w:szCs w:val="20"/>
        </w:rPr>
        <w:t>b)</w:t>
      </w:r>
      <w:r>
        <w:rPr>
          <w:rFonts w:ascii="Verdana" w:hAnsi="Verdana"/>
          <w:sz w:val="20"/>
          <w:szCs w:val="20"/>
        </w:rPr>
        <w:t xml:space="preserve">No caso de interrupção das entregas, por parte da contratada, o gestor do contrato tomará as providências cabíveis, de acordo com cláusulas do edital e contrato. </w:t>
      </w:r>
    </w:p>
    <w:p>
      <w:pPr>
        <w:pStyle w:val="Normal"/>
        <w:spacing w:lineRule="auto" w:line="240"/>
        <w:jc w:val="both"/>
        <w:rPr>
          <w:rFonts w:ascii="Verdana" w:hAnsi="Verdana"/>
          <w:sz w:val="20"/>
          <w:szCs w:val="20"/>
        </w:rPr>
      </w:pPr>
      <w:r>
        <w:rPr>
          <w:rFonts w:ascii="Verdana" w:hAnsi="Verdana"/>
          <w:sz w:val="20"/>
          <w:szCs w:val="20"/>
        </w:rPr>
      </w:r>
    </w:p>
    <w:p>
      <w:pPr>
        <w:pStyle w:val="Normal"/>
        <w:spacing w:lineRule="auto" w:line="240"/>
        <w:jc w:val="both"/>
        <w:rPr/>
      </w:pPr>
      <w:r>
        <w:rPr>
          <w:rFonts w:ascii="Verdana" w:hAnsi="Verdana"/>
          <w:b/>
          <w:sz w:val="20"/>
          <w:szCs w:val="20"/>
        </w:rPr>
        <w:t>14. CONTRATAÇÕES CORRELATAS E/OU INTERDEPENDENTES</w:t>
      </w:r>
    </w:p>
    <w:p>
      <w:pPr>
        <w:pStyle w:val="Normal"/>
        <w:spacing w:lineRule="auto" w:line="240"/>
        <w:jc w:val="both"/>
        <w:rPr/>
      </w:pPr>
      <w:r>
        <w:rPr>
          <w:rFonts w:ascii="Verdana" w:hAnsi="Verdana"/>
          <w:b/>
          <w:sz w:val="20"/>
          <w:szCs w:val="20"/>
        </w:rPr>
        <w:t>14.1.</w:t>
      </w:r>
      <w:r>
        <w:rPr>
          <w:rFonts w:ascii="Verdana" w:hAnsi="Verdana"/>
          <w:sz w:val="20"/>
          <w:szCs w:val="20"/>
        </w:rPr>
        <w:t xml:space="preserve"> Não se verificam contratações correlatas ou interdependentes para a viabilidade e contratação desta demanda.</w:t>
      </w:r>
    </w:p>
    <w:p>
      <w:pPr>
        <w:pStyle w:val="Normal"/>
        <w:spacing w:lineRule="auto" w:line="240"/>
        <w:jc w:val="both"/>
        <w:rPr>
          <w:rFonts w:ascii="Verdana" w:hAnsi="Verdana"/>
          <w:sz w:val="20"/>
          <w:szCs w:val="20"/>
        </w:rPr>
      </w:pPr>
      <w:r>
        <w:rPr>
          <w:rFonts w:ascii="Verdana" w:hAnsi="Verdana"/>
          <w:sz w:val="20"/>
          <w:szCs w:val="20"/>
        </w:rPr>
      </w:r>
    </w:p>
    <w:p>
      <w:pPr>
        <w:pStyle w:val="Normal"/>
        <w:spacing w:lineRule="auto" w:line="240"/>
        <w:jc w:val="both"/>
        <w:rPr/>
      </w:pPr>
      <w:r>
        <w:rPr>
          <w:rFonts w:ascii="Verdana" w:hAnsi="Verdana"/>
          <w:b/>
          <w:sz w:val="20"/>
          <w:szCs w:val="20"/>
        </w:rPr>
        <w:t>15. POSSÍVEIS IMPACTOS AMBIENTAIS</w:t>
      </w:r>
    </w:p>
    <w:p>
      <w:pPr>
        <w:pStyle w:val="Normal"/>
        <w:spacing w:lineRule="auto" w:line="240"/>
        <w:jc w:val="both"/>
        <w:rPr/>
      </w:pPr>
      <w:r>
        <w:rPr>
          <w:rFonts w:ascii="Verdana" w:hAnsi="Verdana"/>
          <w:b/>
          <w:sz w:val="20"/>
          <w:szCs w:val="20"/>
        </w:rPr>
        <w:t xml:space="preserve">15.1. </w:t>
      </w:r>
      <w:r>
        <w:rPr>
          <w:rFonts w:ascii="Verdana" w:hAnsi="Verdana"/>
          <w:sz w:val="20"/>
          <w:szCs w:val="20"/>
        </w:rPr>
        <w:t>Não se verificam impactos ambientais da contratação.</w:t>
      </w:r>
    </w:p>
    <w:p>
      <w:pPr>
        <w:pStyle w:val="Normal"/>
        <w:spacing w:lineRule="auto" w:line="240"/>
        <w:jc w:val="both"/>
        <w:rPr>
          <w:rFonts w:ascii="Verdana" w:hAnsi="Verdana"/>
          <w:sz w:val="20"/>
          <w:szCs w:val="20"/>
        </w:rPr>
      </w:pPr>
      <w:r>
        <w:rPr>
          <w:rFonts w:ascii="Verdana" w:hAnsi="Verdana"/>
          <w:sz w:val="20"/>
          <w:szCs w:val="20"/>
        </w:rPr>
      </w:r>
    </w:p>
    <w:p>
      <w:pPr>
        <w:pStyle w:val="Normal"/>
        <w:spacing w:lineRule="auto" w:line="240"/>
        <w:jc w:val="both"/>
        <w:rPr/>
      </w:pPr>
      <w:r>
        <w:rPr>
          <w:rFonts w:ascii="Verdana" w:hAnsi="Verdana"/>
          <w:b/>
          <w:sz w:val="20"/>
          <w:szCs w:val="20"/>
        </w:rPr>
        <w:t>16. DECLARAÇÃO E JUSTIFICATIVA DA VIABILIDADE</w:t>
      </w:r>
    </w:p>
    <w:p>
      <w:pPr>
        <w:pStyle w:val="Normal"/>
        <w:spacing w:lineRule="auto" w:line="240"/>
        <w:jc w:val="both"/>
        <w:rPr/>
      </w:pPr>
      <w:r>
        <w:rPr>
          <w:rFonts w:ascii="Verdana" w:hAnsi="Verdana"/>
          <w:b/>
          <w:sz w:val="20"/>
          <w:szCs w:val="20"/>
        </w:rPr>
        <w:t>a)</w:t>
      </w:r>
      <w:r>
        <w:rPr>
          <w:rFonts w:ascii="Verdana" w:hAnsi="Verdana"/>
          <w:sz w:val="20"/>
          <w:szCs w:val="20"/>
        </w:rPr>
        <w:t>Neste sentido, a equipe de planejamento deste ETP e de acordo com a autoridade deste requerente, declara viável esta contratação, com base nos elementos apresentados neste documento.</w:t>
      </w:r>
    </w:p>
    <w:p>
      <w:pPr>
        <w:pStyle w:val="Normal"/>
        <w:spacing w:lineRule="auto" w:line="240"/>
        <w:jc w:val="both"/>
        <w:rPr/>
      </w:pPr>
      <w:r>
        <w:rPr>
          <w:rFonts w:ascii="Verdana" w:hAnsi="Verdana"/>
          <w:b/>
          <w:sz w:val="20"/>
          <w:szCs w:val="20"/>
        </w:rPr>
        <w:t>b)</w:t>
      </w:r>
      <w:r>
        <w:rPr>
          <w:rFonts w:ascii="Verdana" w:hAnsi="Verdana"/>
          <w:sz w:val="20"/>
          <w:szCs w:val="20"/>
        </w:rPr>
        <w:t xml:space="preserve">Considerando que os serviços se constituem de aquisição de gêneros alimentícios por meio de </w:t>
      </w:r>
      <w:r>
        <w:rPr>
          <w:rFonts w:ascii="Verdana" w:hAnsi="Verdana"/>
          <w:b/>
          <w:sz w:val="20"/>
          <w:szCs w:val="20"/>
        </w:rPr>
        <w:t>pregão eletrônico</w:t>
      </w:r>
      <w:r>
        <w:rPr>
          <w:rFonts w:ascii="Verdana" w:hAnsi="Verdana"/>
          <w:sz w:val="20"/>
          <w:szCs w:val="20"/>
        </w:rPr>
        <w:t>, para atender as necessidades das Escolas da Rede Pública Municipal de São Gabriel da Palha, através do Programa Nacional de Alimentação Escolar.</w:t>
      </w:r>
    </w:p>
    <w:p>
      <w:pPr>
        <w:pStyle w:val="Normal"/>
        <w:spacing w:lineRule="auto" w:line="240"/>
        <w:jc w:val="right"/>
        <w:rPr>
          <w:rFonts w:ascii="Verdana" w:hAnsi="Verdana"/>
          <w:sz w:val="20"/>
          <w:szCs w:val="20"/>
        </w:rPr>
      </w:pPr>
      <w:r>
        <w:rPr>
          <w:rFonts w:ascii="Verdana" w:hAnsi="Verdana"/>
          <w:sz w:val="20"/>
          <w:szCs w:val="20"/>
        </w:rPr>
      </w:r>
    </w:p>
    <w:p>
      <w:pPr>
        <w:pStyle w:val="Normal"/>
        <w:spacing w:lineRule="auto" w:line="240"/>
        <w:jc w:val="right"/>
        <w:rPr/>
      </w:pPr>
      <w:r>
        <w:rPr>
          <w:rFonts w:ascii="Verdana" w:hAnsi="Verdana"/>
          <w:sz w:val="20"/>
          <w:szCs w:val="20"/>
        </w:rPr>
        <w:t xml:space="preserve">São Gabriel da Palha, 28 de maio de 2026. </w:t>
      </w:r>
    </w:p>
    <w:p>
      <w:pPr>
        <w:pStyle w:val="Normal"/>
        <w:spacing w:lineRule="auto" w:line="240"/>
        <w:jc w:val="both"/>
        <w:rPr/>
      </w:pPr>
      <w:r>
        <w:rPr>
          <w:rFonts w:ascii="Verdana" w:hAnsi="Verdana"/>
          <w:b/>
          <w:sz w:val="20"/>
          <w:szCs w:val="20"/>
        </w:rPr>
        <w:t>17. RESPONSÁVEIS</w:t>
      </w:r>
    </w:p>
    <w:tbl>
      <w:tblPr>
        <w:tblStyle w:val="a0"/>
        <w:tblW w:w="9745" w:type="dxa"/>
        <w:jc w:val="left"/>
        <w:tblInd w:w="0" w:type="dxa"/>
        <w:tblLayout w:type="fixed"/>
        <w:tblCellMar>
          <w:top w:w="0" w:type="dxa"/>
          <w:left w:w="108" w:type="dxa"/>
          <w:bottom w:w="0" w:type="dxa"/>
          <w:right w:w="108" w:type="dxa"/>
        </w:tblCellMar>
        <w:tblLook w:firstRow="0" w:noVBand="0" w:lastRow="0" w:firstColumn="0" w:lastColumn="0" w:noHBand="0" w:val="0000"/>
      </w:tblPr>
      <w:tblGrid>
        <w:gridCol w:w="4873"/>
        <w:gridCol w:w="4871"/>
      </w:tblGrid>
      <w:tr>
        <w:trPr>
          <w:trHeight w:val="500" w:hRule="atLeast"/>
        </w:trPr>
        <w:tc>
          <w:tcPr>
            <w:tcW w:w="4873" w:type="dxa"/>
            <w:tcBorders/>
          </w:tcPr>
          <w:p>
            <w:pPr>
              <w:pStyle w:val="Normal"/>
              <w:widowControl w:val="false"/>
              <w:spacing w:lineRule="auto" w:line="240"/>
              <w:jc w:val="both"/>
              <w:rPr/>
            </w:pPr>
            <w:r>
              <w:rPr>
                <w:rFonts w:eastAsia="Liberation Serif" w:cs="Liberation Serif" w:ascii="Verdana" w:hAnsi="Verdana"/>
                <w:b/>
                <w:color w:val="000000"/>
                <w:sz w:val="20"/>
                <w:szCs w:val="20"/>
              </w:rPr>
              <w:t>Elaborado por:</w:t>
            </w:r>
          </w:p>
        </w:tc>
        <w:tc>
          <w:tcPr>
            <w:tcW w:w="4871" w:type="dxa"/>
            <w:tcBorders/>
          </w:tcPr>
          <w:p>
            <w:pPr>
              <w:pStyle w:val="Normal"/>
              <w:widowControl w:val="false"/>
              <w:spacing w:lineRule="auto" w:line="240"/>
              <w:rPr/>
            </w:pPr>
            <w:r>
              <w:rPr>
                <w:rFonts w:eastAsia="Liberation Serif" w:cs="Liberation Serif" w:ascii="Verdana" w:hAnsi="Verdana"/>
                <w:b/>
                <w:color w:val="000000"/>
                <w:sz w:val="20"/>
                <w:szCs w:val="20"/>
              </w:rPr>
              <w:t>Autorizado por:</w:t>
            </w:r>
          </w:p>
        </w:tc>
      </w:tr>
      <w:tr>
        <w:trPr/>
        <w:tc>
          <w:tcPr>
            <w:tcW w:w="4873" w:type="dxa"/>
            <w:tcBorders/>
          </w:tcPr>
          <w:p>
            <w:pPr>
              <w:pStyle w:val="Normal"/>
              <w:widowControl w:val="false"/>
              <w:spacing w:lineRule="auto" w:line="240"/>
              <w:rPr>
                <w:rFonts w:ascii="Verdana" w:hAnsi="Verdana" w:eastAsia="Liberation Serif" w:cs="Liberation Serif"/>
                <w:color w:val="000000"/>
                <w:sz w:val="20"/>
                <w:szCs w:val="20"/>
              </w:rPr>
            </w:pPr>
            <w:r>
              <w:rPr>
                <w:rFonts w:eastAsia="Liberation Serif" w:cs="Liberation Serif" w:ascii="Verdana" w:hAnsi="Verdana"/>
                <w:color w:val="000000"/>
                <w:sz w:val="20"/>
                <w:szCs w:val="20"/>
              </w:rPr>
            </w:r>
          </w:p>
        </w:tc>
        <w:tc>
          <w:tcPr>
            <w:tcW w:w="4871" w:type="dxa"/>
            <w:tcBorders/>
          </w:tcPr>
          <w:p>
            <w:pPr>
              <w:pStyle w:val="Normal"/>
              <w:widowControl w:val="false"/>
              <w:spacing w:lineRule="auto" w:line="240"/>
              <w:rPr>
                <w:rFonts w:ascii="Verdana" w:hAnsi="Verdana" w:eastAsia="Liberation Serif" w:cs="Liberation Serif"/>
                <w:color w:val="000000"/>
                <w:sz w:val="20"/>
                <w:szCs w:val="20"/>
              </w:rPr>
            </w:pPr>
            <w:r>
              <w:rPr>
                <w:rFonts w:eastAsia="Liberation Serif" w:cs="Liberation Serif" w:ascii="Verdana" w:hAnsi="Verdana"/>
                <w:color w:val="000000"/>
                <w:sz w:val="20"/>
                <w:szCs w:val="20"/>
              </w:rPr>
            </w:r>
          </w:p>
        </w:tc>
      </w:tr>
      <w:tr>
        <w:trPr/>
        <w:tc>
          <w:tcPr>
            <w:tcW w:w="4873" w:type="dxa"/>
            <w:tcBorders/>
            <w:shd w:color="auto" w:fill="auto" w:val="clear"/>
          </w:tcPr>
          <w:p>
            <w:pPr>
              <w:pStyle w:val="Normal"/>
              <w:spacing w:lineRule="auto" w:line="240"/>
              <w:jc w:val="both"/>
              <w:rPr/>
            </w:pPr>
            <w:r>
              <w:rPr>
                <w:rFonts w:eastAsia="Arial" w:cs="Arial" w:ascii="Verdana" w:hAnsi="Verdana"/>
                <w:b/>
                <w:sz w:val="20"/>
                <w:szCs w:val="20"/>
              </w:rPr>
              <w:t>Rafaela Kruger Curitiba</w:t>
            </w:r>
          </w:p>
          <w:p>
            <w:pPr>
              <w:pStyle w:val="Normal"/>
              <w:spacing w:lineRule="auto" w:line="240"/>
              <w:jc w:val="both"/>
              <w:rPr/>
            </w:pPr>
            <w:r>
              <w:rPr>
                <w:rFonts w:eastAsia="Arial" w:cs="Arial" w:ascii="Verdana" w:hAnsi="Verdana"/>
                <w:sz w:val="20"/>
                <w:szCs w:val="20"/>
              </w:rPr>
              <w:t>Auxiliar de Secretaria</w:t>
            </w:r>
          </w:p>
          <w:p>
            <w:pPr>
              <w:pStyle w:val="Normal"/>
              <w:spacing w:lineRule="auto" w:line="240"/>
              <w:jc w:val="both"/>
              <w:rPr/>
            </w:pPr>
            <w:r>
              <w:rPr>
                <w:rFonts w:eastAsia="Arial" w:cs="Arial" w:ascii="Verdana" w:hAnsi="Verdana"/>
                <w:sz w:val="20"/>
                <w:szCs w:val="20"/>
              </w:rPr>
              <w:t>Mat. Nº4046</w:t>
            </w:r>
          </w:p>
        </w:tc>
        <w:tc>
          <w:tcPr>
            <w:tcW w:w="4871" w:type="dxa"/>
            <w:tcBorders/>
            <w:shd w:color="auto" w:fill="auto" w:val="clear"/>
          </w:tcPr>
          <w:p>
            <w:pPr>
              <w:pStyle w:val="Normal"/>
              <w:spacing w:lineRule="auto" w:line="240"/>
              <w:rPr/>
            </w:pPr>
            <w:r>
              <w:rPr>
                <w:rFonts w:eastAsia="Arial" w:cs="Arial" w:ascii="Verdana" w:hAnsi="Verdana"/>
                <w:b/>
                <w:sz w:val="20"/>
                <w:szCs w:val="20"/>
              </w:rPr>
              <w:t>JANE LISLIE MARTINELLI DOS SANTOS</w:t>
            </w:r>
          </w:p>
          <w:p>
            <w:pPr>
              <w:pStyle w:val="Normal"/>
              <w:spacing w:lineRule="auto" w:line="240"/>
              <w:rPr/>
            </w:pPr>
            <w:r>
              <w:rPr>
                <w:rFonts w:eastAsia="Arial" w:cs="Arial" w:ascii="Verdana" w:hAnsi="Verdana"/>
                <w:sz w:val="20"/>
                <w:szCs w:val="20"/>
              </w:rPr>
              <w:t>Secretária Municipal de Educação Interina</w:t>
            </w:r>
          </w:p>
          <w:p>
            <w:pPr>
              <w:pStyle w:val="Normal"/>
              <w:spacing w:lineRule="auto" w:line="240"/>
              <w:rPr/>
            </w:pPr>
            <w:r>
              <w:rPr>
                <w:rFonts w:eastAsia="Arial" w:cs="Arial" w:ascii="Verdana" w:hAnsi="Verdana"/>
                <w:b/>
                <w:sz w:val="20"/>
                <w:szCs w:val="20"/>
              </w:rPr>
              <w:t xml:space="preserve">Decreto </w:t>
            </w:r>
            <w:r>
              <w:rPr>
                <w:rFonts w:eastAsia="Arial" w:cs="Arial" w:ascii="Verdana" w:hAnsi="Verdana"/>
                <w:b/>
                <w:sz w:val="20"/>
                <w:szCs w:val="20"/>
                <w:highlight w:val="white"/>
              </w:rPr>
              <w:t>Nº 4.675/2025</w:t>
            </w:r>
          </w:p>
        </w:tc>
      </w:tr>
    </w:tbl>
    <w:p>
      <w:pPr>
        <w:pStyle w:val="Normal"/>
        <w:spacing w:lineRule="auto" w:line="240"/>
        <w:jc w:val="both"/>
        <w:rPr>
          <w:rFonts w:ascii="Verdana" w:hAnsi="Verdana"/>
          <w:b/>
          <w:color w:val="0000FF"/>
          <w:sz w:val="20"/>
          <w:szCs w:val="20"/>
        </w:rPr>
      </w:pPr>
      <w:r>
        <w:rPr>
          <w:rFonts w:ascii="Verdana" w:hAnsi="Verdana"/>
          <w:b/>
          <w:color w:val="0000FF"/>
          <w:sz w:val="20"/>
          <w:szCs w:val="20"/>
        </w:rPr>
      </w:r>
    </w:p>
    <w:sectPr>
      <w:headerReference w:type="even" r:id="rId3"/>
      <w:headerReference w:type="default" r:id="rId4"/>
      <w:headerReference w:type="first" r:id="rId5"/>
      <w:footerReference w:type="even" r:id="rId6"/>
      <w:footerReference w:type="default" r:id="rId7"/>
      <w:footerReference w:type="first" r:id="rId8"/>
      <w:type w:val="nextPage"/>
      <w:pgSz w:w="11906" w:h="16838"/>
      <w:pgMar w:left="1080" w:right="1080" w:gutter="0" w:header="284" w:top="1212" w:footer="0" w:bottom="851"/>
      <w:pgNumType w:start="1" w:fmt="decimal"/>
      <w:formProt w:val="false"/>
      <w:textDirection w:val="lrTb"/>
      <w:docGrid w:type="default" w:linePitch="100" w:charSpace="8192"/>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embedRegular r:id="rId1" w:fontKey="{01014A78-CABC-4EF0-12AC-5CD89AEFDE01}"/>
    <w:embedBold r:id="rId2" w:fontKey="{02014A78-CABC-4EF0-12AC-5CD89AEFDE02}"/>
    <w:embedItalic r:id="rId3" w:fontKey="{03014A78-CABC-4EF0-12AC-5CD89AEFDE03}"/>
    <w:embedBoldItalic r:id="rId4" w:fontKey="{04014A78-CABC-4EF0-12AC-5CD89AEFDE04}"/>
  </w:font>
  <w:font w:name="Symbol">
    <w:charset w:val="02"/>
    <w:family w:val="roman"/>
    <w:pitch w:val="variable"/>
    <w:embedRegular r:id="rId5" w:fontKey="{05014A78-CABC-4EF0-12AC-5CD89AEFDE05}"/>
  </w:font>
  <w:font w:name="Arial">
    <w:charset w:val="00"/>
    <w:family w:val="swiss"/>
    <w:pitch w:val="variable"/>
    <w:embedRegular r:id="rId6" w:fontKey="{06014A78-CABC-4EF0-12AC-5CD89AEFDE06}"/>
    <w:embedBold r:id="rId7" w:fontKey="{07014A78-CABC-4EF0-12AC-5CD89AEFDE07}"/>
    <w:embedItalic r:id="rId8" w:fontKey="{08014A78-CABC-4EF0-12AC-5CD89AEFDE08}"/>
    <w:embedBoldItalic r:id="rId9" w:fontKey="{09014A78-CABC-4EF0-12AC-5CD89AEFDE09}"/>
  </w:font>
  <w:font w:name="Liberation Serif">
    <w:altName w:val="Times New Roman"/>
    <w:charset w:val="00"/>
    <w:family w:val="roman"/>
    <w:pitch w:val="variable"/>
    <w:embedRegular r:id="rId10" w:fontKey="{0A014A78-CABC-4EF0-12AC-5CD89AEFDE0A}"/>
    <w:embedBold r:id="rId11" w:fontKey="{0B014A78-CABC-4EF0-12AC-5CD89AEFDE0B}"/>
    <w:embedItalic r:id="rId12" w:fontKey="{0C014A78-CABC-4EF0-12AC-5CD89AEFDE0C}"/>
    <w:embedBoldItalic r:id="rId13" w:fontKey="{0D014A78-CABC-4EF0-12AC-5CD89AEFDE0D}"/>
  </w:font>
  <w:font w:name="Symbol">
    <w:charset w:val="00"/>
    <w:family w:val="roman"/>
    <w:pitch w:val="variable"/>
    <w:embedRegular r:id="rId5" w:fontKey="{05014A78-CABC-4EF0-12AC-5CD89AEFDE05}"/>
  </w:font>
  <w:font w:name="Courier New">
    <w:charset w:val="00"/>
    <w:family w:val="roman"/>
    <w:pitch w:val="variable"/>
    <w:embedRegular r:id="rId14" w:fontKey="{0E014A78-CABC-4EF0-12AC-5CD89AEFDE0E}"/>
  </w:font>
  <w:font w:name="Tahoma">
    <w:charset w:val="00"/>
    <w:family w:val="roman"/>
    <w:pitch w:val="variable"/>
    <w:embedRegular r:id="rId15" w:fontKey="{0F014A78-CABC-4EF0-12AC-5CD89AEFDE0F}"/>
  </w:font>
  <w:font w:name="Liberation Sans">
    <w:altName w:val="Arial"/>
    <w:charset w:val="00"/>
    <w:family w:val="roman"/>
    <w:pitch w:val="variable"/>
    <w:embedRegular r:id="rId16" w:fontKey="{10014A78-CABC-4EF0-12AC-5CD89AEFDE10}"/>
  </w:font>
  <w:font w:name="OpenSymbol">
    <w:altName w:val="Arial Unicode MS"/>
    <w:charset w:val="00"/>
    <w:family w:val="roman"/>
    <w:pitch w:val="variable"/>
    <w:embedRegular r:id="rId17" w:fontKey="{11014A78-CABC-4EF0-12AC-5CD89AEFDE11}"/>
    <w:embedBold r:id="rId18" w:fontKey="{12014A78-CABC-4EF0-12AC-5CD89AEFDE12}"/>
  </w:font>
  <w:font w:name="Arial">
    <w:charset w:val="00"/>
    <w:family w:val="roman"/>
    <w:pitch w:val="variable"/>
  </w:font>
  <w:font w:name="Calibri">
    <w:charset w:val="00"/>
    <w:family w:val="roman"/>
    <w:pitch w:val="variable"/>
    <w:embedRegular r:id="rId19" w:fontKey="{13014A78-CABC-4EF0-12AC-5CD89AEFDE13}"/>
  </w:font>
  <w:font w:name="IPMDOI+TimesNewRoman">
    <w:charset w:val="00"/>
    <w:family w:val="roman"/>
    <w:pitch w:val="variable"/>
  </w:font>
  <w:font w:name="Univers 45 Light">
    <w:charset w:val="00"/>
    <w:family w:val="roman"/>
    <w:pitch w:val="variable"/>
  </w:font>
  <w:font w:name="Georgia">
    <w:charset w:val="00"/>
    <w:family w:val="roman"/>
    <w:pitch w:val="variable"/>
    <w:embedRegular r:id="rId20" w:fontKey="{14014A78-CABC-4EF0-12AC-5CD89AEFDE14}"/>
    <w:embedBold r:id="rId21" w:fontKey="{15014A78-CABC-4EF0-12AC-5CD89AEFDE15}"/>
    <w:embedItalic r:id="rId22" w:fontKey="{16014A78-CABC-4EF0-12AC-5CD89AEFDE16}"/>
    <w:embedBoldItalic r:id="rId23" w:fontKey="{17014A78-CABC-4EF0-12AC-5CD89AEFDE17}"/>
  </w:font>
  <w:font w:name="Verdana">
    <w:charset w:val="00"/>
    <w:family w:val="roman"/>
    <w:pitch w:val="variable"/>
    <w:embedRegular r:id="rId24" w:fontKey="{18014A78-CABC-4EF0-12AC-5CD89AEFDE18}"/>
  </w:font>
  <w:font w:name="Arial Narrow">
    <w:charset w:val="00"/>
    <w:family w:val="roman"/>
    <w:pitch w:val="variable"/>
    <w:embedRegular r:id="rId25" w:fontKey="{19014A78-CABC-4EF0-12AC-5CD89AEFDE19}"/>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top w:val="single" w:sz="4" w:space="0" w:color="000000"/>
      </w:pBdr>
      <w:tabs>
        <w:tab w:val="clear" w:pos="720"/>
        <w:tab w:val="left" w:pos="540" w:leader="none"/>
        <w:tab w:val="center" w:pos="4419" w:leader="none"/>
        <w:tab w:val="center" w:pos="4536" w:leader="none"/>
        <w:tab w:val="right" w:pos="8838" w:leader="none"/>
      </w:tabs>
      <w:jc w:val="center"/>
      <w:rPr>
        <w:rFonts w:ascii="Calibri" w:hAnsi="Calibri" w:eastAsia="Calibri" w:cs="Calibri"/>
        <w:bCs/>
        <w:sz w:val="18"/>
        <w:szCs w:val="18"/>
        <w:highlight w:val="white"/>
      </w:rPr>
    </w:pPr>
    <w:r>
      <w:rPr>
        <w:rFonts w:eastAsia="Calibri" w:cs="Calibri" w:ascii="Calibri" w:hAnsi="Calibri"/>
        <w:bCs/>
        <w:sz w:val="18"/>
        <w:szCs w:val="18"/>
        <w:highlight w:val="white"/>
      </w:rPr>
      <w:t>Praça Vicente Glazar, 159 | São Gabriel da Palha-ES | CEP 29780 000</w:t>
    </w:r>
  </w:p>
  <w:p>
    <w:pPr>
      <w:pStyle w:val="Normal"/>
      <w:jc w:val="center"/>
      <w:rPr>
        <w:rFonts w:ascii="Calibri" w:hAnsi="Calibri" w:eastAsia="Calibri" w:cs="Calibri"/>
        <w:sz w:val="14"/>
        <w:szCs w:val="14"/>
        <w:highlight w:val="white"/>
      </w:rPr>
    </w:pPr>
    <w:r>
      <w:rPr>
        <w:rFonts w:eastAsia="Calibri" w:cs="Calibri" w:ascii="Calibri" w:hAnsi="Calibri"/>
        <w:bCs/>
        <w:sz w:val="18"/>
        <w:szCs w:val="18"/>
        <w:highlight w:val="white"/>
      </w:rPr>
      <w:t>Fone/Fax (027) 99574-4758| E-mail</w:t>
    </w:r>
    <w:r>
      <w:rPr>
        <w:rFonts w:eastAsia="Calibri" w:cs="Calibri" w:ascii="Calibri" w:hAnsi="Calibri"/>
        <w:b/>
        <w:sz w:val="18"/>
        <w:szCs w:val="18"/>
        <w:highlight w:val="white"/>
      </w:rPr>
      <w:t>:</w:t>
    </w:r>
    <w:r>
      <w:rPr>
        <w:rFonts w:eastAsia="Calibri" w:cs="Calibri" w:ascii="Calibri" w:hAnsi="Calibri"/>
        <w:b/>
        <w:sz w:val="18"/>
        <w:szCs w:val="18"/>
      </w:rPr>
      <w:t xml:space="preserve"> </w:t>
    </w:r>
    <w:hyperlink r:id="rId1">
      <w:r>
        <w:rPr>
          <w:rStyle w:val="Hyperlink"/>
          <w:rFonts w:eastAsia="Calibri" w:cs="Calibri" w:ascii="Calibri" w:hAnsi="Calibri"/>
          <w:sz w:val="18"/>
          <w:szCs w:val="18"/>
          <w:highlight w:val="white"/>
        </w:rPr>
        <w:t>financeirosemecsgp@gmail.com</w:t>
      </w:r>
    </w:hyperlink>
  </w:p>
  <w:p>
    <w:pPr>
      <w:pStyle w:val="Normal"/>
      <w:jc w:val="center"/>
      <w:rPr>
        <w:rFonts w:ascii="Calibri" w:hAnsi="Calibri" w:eastAsia="Calibri" w:cs="Calibri"/>
        <w:sz w:val="14"/>
        <w:szCs w:val="14"/>
        <w:highlight w:val="white"/>
      </w:rPr>
    </w:pPr>
    <w:r>
      <w:rPr>
        <w:rFonts w:eastAsia="Calibri" w:cs="Calibri" w:ascii="Calibri" w:hAnsi="Calibri"/>
        <w:sz w:val="14"/>
        <w:szCs w:val="14"/>
        <w:highlight w:val="white"/>
      </w:rPr>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top w:val="single" w:sz="4" w:space="0" w:color="000000"/>
      </w:pBdr>
      <w:tabs>
        <w:tab w:val="clear" w:pos="720"/>
        <w:tab w:val="left" w:pos="540" w:leader="none"/>
        <w:tab w:val="center" w:pos="4419" w:leader="none"/>
        <w:tab w:val="center" w:pos="4536" w:leader="none"/>
        <w:tab w:val="right" w:pos="8838" w:leader="none"/>
      </w:tabs>
      <w:jc w:val="center"/>
      <w:rPr>
        <w:rFonts w:ascii="Calibri" w:hAnsi="Calibri" w:eastAsia="Calibri" w:cs="Calibri"/>
        <w:bCs/>
        <w:sz w:val="18"/>
        <w:szCs w:val="18"/>
        <w:highlight w:val="white"/>
      </w:rPr>
    </w:pPr>
    <w:r>
      <w:rPr>
        <w:rFonts w:eastAsia="Calibri" w:cs="Calibri" w:ascii="Calibri" w:hAnsi="Calibri"/>
        <w:bCs/>
        <w:sz w:val="18"/>
        <w:szCs w:val="18"/>
        <w:highlight w:val="white"/>
      </w:rPr>
      <w:t>Praça Vicente Glazar, 159 | São Gabriel da Palha-ES | CEP 29780 000</w:t>
    </w:r>
  </w:p>
  <w:p>
    <w:pPr>
      <w:pStyle w:val="Normal"/>
      <w:jc w:val="center"/>
      <w:rPr>
        <w:rFonts w:ascii="Calibri" w:hAnsi="Calibri" w:eastAsia="Calibri" w:cs="Calibri"/>
        <w:sz w:val="14"/>
        <w:szCs w:val="14"/>
        <w:highlight w:val="white"/>
      </w:rPr>
    </w:pPr>
    <w:r>
      <w:rPr>
        <w:rFonts w:eastAsia="Calibri" w:cs="Calibri" w:ascii="Calibri" w:hAnsi="Calibri"/>
        <w:bCs/>
        <w:sz w:val="18"/>
        <w:szCs w:val="18"/>
        <w:highlight w:val="white"/>
      </w:rPr>
      <w:t>Fone/Fax (027) 99574-4758| E-mail</w:t>
    </w:r>
    <w:r>
      <w:rPr>
        <w:rFonts w:eastAsia="Calibri" w:cs="Calibri" w:ascii="Calibri" w:hAnsi="Calibri"/>
        <w:b/>
        <w:sz w:val="18"/>
        <w:szCs w:val="18"/>
        <w:highlight w:val="white"/>
      </w:rPr>
      <w:t>:</w:t>
    </w:r>
    <w:r>
      <w:rPr>
        <w:rFonts w:eastAsia="Calibri" w:cs="Calibri" w:ascii="Calibri" w:hAnsi="Calibri"/>
        <w:b/>
        <w:sz w:val="18"/>
        <w:szCs w:val="18"/>
      </w:rPr>
      <w:t xml:space="preserve"> </w:t>
    </w:r>
    <w:hyperlink r:id="rId1">
      <w:r>
        <w:rPr>
          <w:rStyle w:val="Hyperlink"/>
          <w:rFonts w:eastAsia="Calibri" w:cs="Calibri" w:ascii="Calibri" w:hAnsi="Calibri"/>
          <w:sz w:val="18"/>
          <w:szCs w:val="18"/>
          <w:highlight w:val="white"/>
        </w:rPr>
        <w:t>financeirosemecsgp@gmail.com</w:t>
      </w:r>
    </w:hyperlink>
  </w:p>
  <w:p>
    <w:pPr>
      <w:pStyle w:val="Normal"/>
      <w:jc w:val="center"/>
      <w:rPr>
        <w:rFonts w:ascii="Calibri" w:hAnsi="Calibri" w:eastAsia="Calibri" w:cs="Calibri"/>
        <w:sz w:val="14"/>
        <w:szCs w:val="14"/>
        <w:highlight w:val="white"/>
      </w:rPr>
    </w:pPr>
    <w:r>
      <w:rPr>
        <w:rFonts w:eastAsia="Calibri" w:cs="Calibri" w:ascii="Calibri" w:hAnsi="Calibri"/>
        <w:sz w:val="14"/>
        <w:szCs w:val="14"/>
        <w:highlight w:val="white"/>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jc w:val="center"/>
      <w:rPr/>
    </w:pPr>
    <w:r>
      <w:drawing>
        <wp:anchor behindDoc="1" distT="0" distB="0" distL="152400" distR="120015" simplePos="0" locked="0" layoutInCell="0" allowOverlap="1" relativeHeight="9">
          <wp:simplePos x="0" y="0"/>
          <wp:positionH relativeFrom="column">
            <wp:posOffset>-71755</wp:posOffset>
          </wp:positionH>
          <wp:positionV relativeFrom="paragraph">
            <wp:posOffset>635</wp:posOffset>
          </wp:positionV>
          <wp:extent cx="504190" cy="460375"/>
          <wp:effectExtent l="0" t="0" r="0" b="0"/>
          <wp:wrapSquare wrapText="bothSides"/>
          <wp:docPr id="1" name="image1.jp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jpg" descr=""/>
                  <pic:cNvPicPr>
                    <a:picLocks noChangeAspect="1" noChangeArrowheads="1"/>
                  </pic:cNvPicPr>
                </pic:nvPicPr>
                <pic:blipFill>
                  <a:blip r:embed="rId1"/>
                  <a:srcRect l="-40" t="-45" r="-40" b="-45"/>
                  <a:stretch>
                    <a:fillRect/>
                  </a:stretch>
                </pic:blipFill>
                <pic:spPr bwMode="auto">
                  <a:xfrm>
                    <a:off x="0" y="0"/>
                    <a:ext cx="504190" cy="460375"/>
                  </a:xfrm>
                  <a:prstGeom prst="rect">
                    <a:avLst/>
                  </a:prstGeom>
                </pic:spPr>
              </pic:pic>
            </a:graphicData>
          </a:graphic>
        </wp:anchor>
      </w:drawing>
    </w:r>
    <w:r>
      <w:rPr>
        <w:rFonts w:eastAsia="Verdana" w:cs="Verdana" w:ascii="Verdana" w:hAnsi="Verdana"/>
        <w:sz w:val="24"/>
        <w:szCs w:val="24"/>
      </w:rPr>
      <w:t>PREFEITURA MUNICIPAL DE SÃO GABRIEL DA PALHA</w:t>
    </w:r>
    <w:r>
      <w:rPr>
        <w:rFonts w:eastAsia="Verdana" w:cs="Verdana" w:ascii="Verdana" w:hAnsi="Verdana"/>
        <w:b/>
        <w:sz w:val="24"/>
        <w:szCs w:val="24"/>
      </w:rPr>
      <w:br/>
    </w:r>
    <w:r>
      <w:rPr>
        <w:rFonts w:eastAsia="Calibri" w:cs="Calibri" w:ascii="Calibri" w:hAnsi="Calibri"/>
      </w:rPr>
      <w:t>ESTADO DO ESPÍRITO SANTO</w:t>
    </w:r>
    <w:r>
      <w:rPr>
        <w:rFonts w:eastAsia="Verdana" w:cs="Verdana" w:ascii="Verdana" w:hAnsi="Verdana"/>
        <w:b/>
      </w:rPr>
      <w:br/>
    </w:r>
    <w:r>
      <w:rPr>
        <w:rFonts w:eastAsia="Arial Narrow" w:cs="Arial Narrow" w:ascii="Arial Narrow" w:hAnsi="Arial Narrow"/>
        <w:b/>
      </w:rPr>
      <w:t>Secretaria Municipal de Educação</w:t>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jc w:val="center"/>
      <w:rPr/>
    </w:pPr>
    <w:r>
      <w:drawing>
        <wp:anchor behindDoc="1" distT="0" distB="0" distL="152400" distR="120015" simplePos="0" locked="0" layoutInCell="0" allowOverlap="1" relativeHeight="9">
          <wp:simplePos x="0" y="0"/>
          <wp:positionH relativeFrom="column">
            <wp:posOffset>-71755</wp:posOffset>
          </wp:positionH>
          <wp:positionV relativeFrom="paragraph">
            <wp:posOffset>635</wp:posOffset>
          </wp:positionV>
          <wp:extent cx="504190" cy="460375"/>
          <wp:effectExtent l="0" t="0" r="0" b="0"/>
          <wp:wrapSquare wrapText="bothSides"/>
          <wp:docPr id="2" name="image1.jp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g" descr=""/>
                  <pic:cNvPicPr>
                    <a:picLocks noChangeAspect="1" noChangeArrowheads="1"/>
                  </pic:cNvPicPr>
                </pic:nvPicPr>
                <pic:blipFill>
                  <a:blip r:embed="rId1"/>
                  <a:srcRect l="-40" t="-45" r="-40" b="-45"/>
                  <a:stretch>
                    <a:fillRect/>
                  </a:stretch>
                </pic:blipFill>
                <pic:spPr bwMode="auto">
                  <a:xfrm>
                    <a:off x="0" y="0"/>
                    <a:ext cx="504190" cy="460375"/>
                  </a:xfrm>
                  <a:prstGeom prst="rect">
                    <a:avLst/>
                  </a:prstGeom>
                </pic:spPr>
              </pic:pic>
            </a:graphicData>
          </a:graphic>
        </wp:anchor>
      </w:drawing>
    </w:r>
    <w:r>
      <w:rPr>
        <w:rFonts w:eastAsia="Verdana" w:cs="Verdana" w:ascii="Verdana" w:hAnsi="Verdana"/>
        <w:sz w:val="24"/>
        <w:szCs w:val="24"/>
      </w:rPr>
      <w:t>PREFEITURA MUNICIPAL DE SÃO GABRIEL DA PALHA</w:t>
    </w:r>
    <w:r>
      <w:rPr>
        <w:rFonts w:eastAsia="Verdana" w:cs="Verdana" w:ascii="Verdana" w:hAnsi="Verdana"/>
        <w:b/>
        <w:sz w:val="24"/>
        <w:szCs w:val="24"/>
      </w:rPr>
      <w:br/>
    </w:r>
    <w:r>
      <w:rPr>
        <w:rFonts w:eastAsia="Calibri" w:cs="Calibri" w:ascii="Calibri" w:hAnsi="Calibri"/>
      </w:rPr>
      <w:t>ESTADO DO ESPÍRITO SANTO</w:t>
    </w:r>
    <w:r>
      <w:rPr>
        <w:rFonts w:eastAsia="Verdana" w:cs="Verdana" w:ascii="Verdana" w:hAnsi="Verdana"/>
        <w:b/>
      </w:rPr>
      <w:br/>
    </w:r>
    <w:r>
      <w:rPr>
        <w:rFonts w:eastAsia="Arial Narrow" w:cs="Arial Narrow" w:ascii="Arial Narrow" w:hAnsi="Arial Narrow"/>
        <w:b/>
      </w:rPr>
      <w:t>Secretaria Municipal de Educação</w:t>
    </w:r>
  </w:p>
</w:hdr>
</file>

<file path=word/settings.xml><?xml version="1.0" encoding="utf-8"?>
<w:settings xmlns:w="http://schemas.openxmlformats.org/wordprocessingml/2006/main">
  <w:zoom w:percent="100"/>
  <w:displayBackgroundShape/>
  <w:embedTrueTypeFonts/>
  <w:defaultTabStop w:val="720"/>
  <w:autoHyphenation w:val="true"/>
  <w:compa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themeFontLang w:val="pt-BR"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Times New Roman" w:cs="Times New Roman"/>
        <w:lang w:val="pt-BR" w:eastAsia="pt-BR" w:bidi="ar-SA"/>
      </w:rPr>
    </w:rPrDefault>
    <w:pPrDefault>
      <w:pPr>
        <w:suppressAutoHyphens w:val="true"/>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pPr>
      <w:widowControl/>
      <w:suppressAutoHyphens w:val="true"/>
      <w:bidi w:val="0"/>
      <w:spacing w:before="0" w:after="0"/>
      <w:jc w:val="left"/>
    </w:pPr>
    <w:rPr>
      <w:rFonts w:ascii="Times New Roman" w:hAnsi="Times New Roman" w:eastAsia="Times New Roman" w:cs="Times New Roman"/>
      <w:color w:val="auto"/>
      <w:kern w:val="0"/>
      <w:sz w:val="20"/>
      <w:szCs w:val="20"/>
      <w:lang w:val="pt-BR" w:eastAsia="pt-BR" w:bidi="ar-SA"/>
    </w:rPr>
  </w:style>
  <w:style w:type="paragraph" w:styleId="Heading1">
    <w:name w:val="Heading 1"/>
    <w:basedOn w:val="Normal"/>
    <w:next w:val="Normal"/>
    <w:uiPriority w:val="9"/>
    <w:qFormat/>
    <w:pPr>
      <w:keepNext w:val="true"/>
      <w:tabs>
        <w:tab w:val="clear" w:pos="720"/>
        <w:tab w:val="left" w:pos="0" w:leader="none"/>
      </w:tabs>
      <w:ind w:hanging="432" w:left="432"/>
      <w:jc w:val="center"/>
      <w:outlineLvl w:val="0"/>
    </w:pPr>
    <w:rPr>
      <w:b/>
      <w:sz w:val="24"/>
      <w:szCs w:val="24"/>
    </w:rPr>
  </w:style>
  <w:style w:type="paragraph" w:styleId="Heading2">
    <w:name w:val="Heading 2"/>
    <w:basedOn w:val="Normal"/>
    <w:next w:val="Normal"/>
    <w:uiPriority w:val="9"/>
    <w:semiHidden/>
    <w:unhideWhenUsed/>
    <w:qFormat/>
    <w:pPr>
      <w:keepNext w:val="true"/>
      <w:tabs>
        <w:tab w:val="clear" w:pos="720"/>
        <w:tab w:val="left" w:pos="0" w:leader="none"/>
      </w:tabs>
      <w:ind w:hanging="576" w:left="576"/>
      <w:outlineLvl w:val="1"/>
    </w:pPr>
    <w:rPr>
      <w:b/>
      <w:sz w:val="24"/>
      <w:szCs w:val="24"/>
      <w:u w:val="single"/>
    </w:rPr>
  </w:style>
  <w:style w:type="paragraph" w:styleId="Heading3">
    <w:name w:val="Heading 3"/>
    <w:basedOn w:val="Normal"/>
    <w:next w:val="Normal"/>
    <w:uiPriority w:val="9"/>
    <w:semiHidden/>
    <w:unhideWhenUsed/>
    <w:qFormat/>
    <w:pPr>
      <w:keepNext w:val="true"/>
      <w:jc w:val="both"/>
      <w:outlineLvl w:val="2"/>
    </w:pPr>
    <w:rPr>
      <w:b/>
      <w:color w:val="00000A"/>
    </w:rPr>
  </w:style>
  <w:style w:type="paragraph" w:styleId="Heading4">
    <w:name w:val="Heading 4"/>
    <w:basedOn w:val="Normal"/>
    <w:next w:val="Normal"/>
    <w:uiPriority w:val="9"/>
    <w:semiHidden/>
    <w:unhideWhenUsed/>
    <w:qFormat/>
    <w:pPr>
      <w:keepNext w:val="true"/>
      <w:tabs>
        <w:tab w:val="clear" w:pos="720"/>
        <w:tab w:val="left" w:pos="0" w:leader="none"/>
      </w:tabs>
      <w:ind w:hanging="864" w:left="864"/>
      <w:outlineLvl w:val="3"/>
    </w:pPr>
    <w:rPr>
      <w:sz w:val="24"/>
      <w:szCs w:val="24"/>
    </w:rPr>
  </w:style>
  <w:style w:type="paragraph" w:styleId="Heading5">
    <w:name w:val="Heading 5"/>
    <w:basedOn w:val="Normal"/>
    <w:next w:val="Normal"/>
    <w:uiPriority w:val="9"/>
    <w:semiHidden/>
    <w:unhideWhenUsed/>
    <w:qFormat/>
    <w:pPr>
      <w:keepNext w:val="true"/>
      <w:keepLines/>
      <w:spacing w:before="220" w:after="40"/>
      <w:outlineLvl w:val="4"/>
    </w:pPr>
    <w:rPr>
      <w:b/>
      <w:sz w:val="22"/>
      <w:szCs w:val="22"/>
    </w:rPr>
  </w:style>
  <w:style w:type="paragraph" w:styleId="Heading6">
    <w:name w:val="Heading 6"/>
    <w:basedOn w:val="Normal"/>
    <w:next w:val="Normal"/>
    <w:uiPriority w:val="9"/>
    <w:semiHidden/>
    <w:unhideWhenUsed/>
    <w:qFormat/>
    <w:pPr>
      <w:keepNext w:val="true"/>
      <w:keepLines/>
      <w:spacing w:before="200" w:after="40"/>
      <w:outlineLvl w:val="5"/>
    </w:pPr>
    <w:rPr>
      <w:b/>
    </w:rPr>
  </w:style>
  <w:style w:type="paragraph" w:styleId="Heading8">
    <w:name w:val="Heading 8"/>
    <w:basedOn w:val="Normal"/>
    <w:next w:val="Normal"/>
    <w:qFormat/>
    <w:pPr>
      <w:tabs>
        <w:tab w:val="clear" w:pos="720"/>
        <w:tab w:val="left" w:pos="0" w:leader="none"/>
      </w:tabs>
      <w:spacing w:before="240" w:after="60"/>
      <w:ind w:hanging="1440" w:left="1440"/>
      <w:outlineLvl w:val="7"/>
    </w:pPr>
    <w:rPr>
      <w:i/>
      <w:iCs/>
      <w:sz w:val="24"/>
      <w:szCs w:val="24"/>
    </w:rPr>
  </w:style>
  <w:style w:type="character" w:styleId="DefaultParagraphFont" w:default="1">
    <w:name w:val="Default Paragraph Font"/>
    <w:uiPriority w:val="1"/>
    <w:semiHidden/>
    <w:unhideWhenUsed/>
    <w:qFormat/>
    <w:rPr/>
  </w:style>
  <w:style w:type="character" w:styleId="WW8Num1z0" w:customStyle="1">
    <w:name w:val="WW8Num1z0"/>
    <w:qFormat/>
    <w:rPr>
      <w:rFonts w:ascii="Symbol" w:hAnsi="Symbol" w:eastAsia="Times New Roman" w:cs="Times New Roman"/>
    </w:rPr>
  </w:style>
  <w:style w:type="character" w:styleId="WW8Num1z1" w:customStyle="1">
    <w:name w:val="WW8Num1z1"/>
    <w:qFormat/>
    <w:rPr>
      <w:rFonts w:ascii="Courier New" w:hAnsi="Courier New" w:cs="Courier New"/>
    </w:rPr>
  </w:style>
  <w:style w:type="character" w:styleId="WW8Num1z2" w:customStyle="1">
    <w:name w:val="WW8Num1z2"/>
    <w:qFormat/>
    <w:rPr/>
  </w:style>
  <w:style w:type="character" w:styleId="WW8Num1z3" w:customStyle="1">
    <w:name w:val="WW8Num1z3"/>
    <w:qFormat/>
    <w:rPr>
      <w:rFonts w:ascii="Symbol" w:hAnsi="Symbol" w:cs="Symbol"/>
    </w:rPr>
  </w:style>
  <w:style w:type="character" w:styleId="WW8Num1z4" w:customStyle="1">
    <w:name w:val="WW8Num1z4"/>
    <w:qFormat/>
    <w:rPr/>
  </w:style>
  <w:style w:type="character" w:styleId="WW8Num1z5" w:customStyle="1">
    <w:name w:val="WW8Num1z5"/>
    <w:qFormat/>
    <w:rPr/>
  </w:style>
  <w:style w:type="character" w:styleId="WW8Num1z6" w:customStyle="1">
    <w:name w:val="WW8Num1z6"/>
    <w:qFormat/>
    <w:rPr/>
  </w:style>
  <w:style w:type="character" w:styleId="WW8Num1z7" w:customStyle="1">
    <w:name w:val="WW8Num1z7"/>
    <w:qFormat/>
    <w:rPr/>
  </w:style>
  <w:style w:type="character" w:styleId="WW8Num1z8" w:customStyle="1">
    <w:name w:val="WW8Num1z8"/>
    <w:qFormat/>
    <w:rPr/>
  </w:style>
  <w:style w:type="character" w:styleId="WW8Num2z0" w:customStyle="1">
    <w:name w:val="WW8Num2z0"/>
    <w:qFormat/>
    <w:rPr>
      <w:rFonts w:ascii="Times New Roman" w:hAnsi="Times New Roman" w:cs="Times New Roman"/>
      <w:b/>
      <w:sz w:val="24"/>
    </w:rPr>
  </w:style>
  <w:style w:type="character" w:styleId="WW8Num2z1" w:customStyle="1">
    <w:name w:val="WW8Num2z1"/>
    <w:qFormat/>
    <w:rPr>
      <w:rFonts w:ascii="Times New Roman" w:hAnsi="Times New Roman" w:cs="Times New Roman"/>
      <w:b w:val="false"/>
      <w:sz w:val="24"/>
    </w:rPr>
  </w:style>
  <w:style w:type="character" w:styleId="WW8Num3z0" w:customStyle="1">
    <w:name w:val="WW8Num3z0"/>
    <w:qFormat/>
    <w:rPr>
      <w:vanish/>
    </w:rPr>
  </w:style>
  <w:style w:type="character" w:styleId="Fontepargpadro3" w:customStyle="1">
    <w:name w:val="Fonte parág. padrão3"/>
    <w:qFormat/>
    <w:rPr/>
  </w:style>
  <w:style w:type="character" w:styleId="Fontepargpadro2" w:customStyle="1">
    <w:name w:val="Fonte parág. padrão2"/>
    <w:qFormat/>
    <w:rPr/>
  </w:style>
  <w:style w:type="character" w:styleId="WW8Num4z0" w:customStyle="1">
    <w:name w:val="WW8Num4z0"/>
    <w:qFormat/>
    <w:rPr>
      <w:b/>
    </w:rPr>
  </w:style>
  <w:style w:type="character" w:styleId="WW8Num4z1" w:customStyle="1">
    <w:name w:val="WW8Num4z1"/>
    <w:qFormat/>
    <w:rPr/>
  </w:style>
  <w:style w:type="character" w:styleId="WW8Num4z2" w:customStyle="1">
    <w:name w:val="WW8Num4z2"/>
    <w:qFormat/>
    <w:rPr/>
  </w:style>
  <w:style w:type="character" w:styleId="WW8Num4z3" w:customStyle="1">
    <w:name w:val="WW8Num4z3"/>
    <w:qFormat/>
    <w:rPr/>
  </w:style>
  <w:style w:type="character" w:styleId="WW8Num4z4" w:customStyle="1">
    <w:name w:val="WW8Num4z4"/>
    <w:qFormat/>
    <w:rPr/>
  </w:style>
  <w:style w:type="character" w:styleId="WW8Num4z5" w:customStyle="1">
    <w:name w:val="WW8Num4z5"/>
    <w:qFormat/>
    <w:rPr/>
  </w:style>
  <w:style w:type="character" w:styleId="WW8Num4z6" w:customStyle="1">
    <w:name w:val="WW8Num4z6"/>
    <w:qFormat/>
    <w:rPr/>
  </w:style>
  <w:style w:type="character" w:styleId="WW8Num4z7" w:customStyle="1">
    <w:name w:val="WW8Num4z7"/>
    <w:qFormat/>
    <w:rPr/>
  </w:style>
  <w:style w:type="character" w:styleId="WW8Num4z8" w:customStyle="1">
    <w:name w:val="WW8Num4z8"/>
    <w:qFormat/>
    <w:rPr/>
  </w:style>
  <w:style w:type="character" w:styleId="WW8Num5z0" w:customStyle="1">
    <w:name w:val="WW8Num5z0"/>
    <w:qFormat/>
    <w:rPr/>
  </w:style>
  <w:style w:type="character" w:styleId="WW8Num5z1" w:customStyle="1">
    <w:name w:val="WW8Num5z1"/>
    <w:qFormat/>
    <w:rPr>
      <w:color w:val="auto"/>
      <w:sz w:val="24"/>
      <w:szCs w:val="24"/>
    </w:rPr>
  </w:style>
  <w:style w:type="character" w:styleId="Fontepargpadro1" w:customStyle="1">
    <w:name w:val="Fonte parág. padrão1"/>
    <w:qFormat/>
    <w:rPr/>
  </w:style>
  <w:style w:type="character" w:styleId="CabealhoChar" w:customStyle="1">
    <w:name w:val="Cabeçalho Char"/>
    <w:qFormat/>
    <w:rPr>
      <w:sz w:val="24"/>
    </w:rPr>
  </w:style>
  <w:style w:type="character" w:styleId="RodapChar" w:customStyle="1">
    <w:name w:val="Rodapé Char"/>
    <w:qFormat/>
    <w:rPr>
      <w:sz w:val="24"/>
    </w:rPr>
  </w:style>
  <w:style w:type="character" w:styleId="PageNumber">
    <w:name w:val="Page Number"/>
    <w:basedOn w:val="Fontepargpadro1"/>
    <w:rPr/>
  </w:style>
  <w:style w:type="character" w:styleId="Hyperlink">
    <w:name w:val="Hyperlink"/>
    <w:rPr>
      <w:color w:val="0000FF"/>
      <w:u w:val="single"/>
    </w:rPr>
  </w:style>
  <w:style w:type="character" w:styleId="Caracteresdenotaderodap" w:customStyle="1">
    <w:name w:val="Caracteres de nota de rodapé"/>
    <w:qFormat/>
    <w:rPr>
      <w:vertAlign w:val="superscript"/>
    </w:rPr>
  </w:style>
  <w:style w:type="character" w:styleId="Corpodetexto3Char" w:customStyle="1">
    <w:name w:val="Corpo de texto 3 Char"/>
    <w:qFormat/>
    <w:rPr>
      <w:sz w:val="16"/>
      <w:szCs w:val="16"/>
    </w:rPr>
  </w:style>
  <w:style w:type="character" w:styleId="Corpodetexto2Char" w:customStyle="1">
    <w:name w:val="Corpo de texto 2 Char"/>
    <w:basedOn w:val="Fontepargpadro1"/>
    <w:qFormat/>
    <w:rPr/>
  </w:style>
  <w:style w:type="character" w:styleId="TextodebaloChar" w:customStyle="1">
    <w:name w:val="Texto de balão Char"/>
    <w:qFormat/>
    <w:rPr>
      <w:rFonts w:ascii="Tahoma" w:hAnsi="Tahoma" w:cs="Tahoma"/>
      <w:sz w:val="16"/>
      <w:szCs w:val="16"/>
    </w:rPr>
  </w:style>
  <w:style w:type="character" w:styleId="Smbolosdenumerao" w:customStyle="1">
    <w:name w:val="Símbolos de numeração"/>
    <w:qFormat/>
    <w:rPr/>
  </w:style>
  <w:style w:type="character" w:styleId="Ttulo3Char" w:customStyle="1">
    <w:name w:val="Título 3 Char"/>
    <w:qFormat/>
    <w:rPr>
      <w:b/>
      <w:color w:val="00000A"/>
    </w:rPr>
  </w:style>
  <w:style w:type="character" w:styleId="Recuodecorpodetexto3Char" w:customStyle="1">
    <w:name w:val="Recuo de corpo de texto 3 Char"/>
    <w:qFormat/>
    <w:rPr>
      <w:sz w:val="16"/>
      <w:szCs w:val="16"/>
    </w:rPr>
  </w:style>
  <w:style w:type="character" w:styleId="Ttulo8Char" w:customStyle="1">
    <w:name w:val="Título 8 Char"/>
    <w:qFormat/>
    <w:rPr>
      <w:i/>
      <w:iCs/>
      <w:sz w:val="24"/>
      <w:szCs w:val="24"/>
      <w:lang w:eastAsia="zh-CN"/>
    </w:rPr>
  </w:style>
  <w:style w:type="character" w:styleId="TtuloChar" w:customStyle="1">
    <w:name w:val="Título Char"/>
    <w:qFormat/>
    <w:rPr>
      <w:rFonts w:ascii="Liberation Sans" w:hAnsi="Liberation Sans" w:eastAsia="Microsoft YaHei" w:cs="Lucida Sans"/>
      <w:color w:val="00000A"/>
      <w:sz w:val="28"/>
      <w:szCs w:val="28"/>
    </w:rPr>
  </w:style>
  <w:style w:type="character" w:styleId="Recuodecorpodetexto3Char1" w:customStyle="1">
    <w:name w:val="Recuo de corpo de texto 3 Char1"/>
    <w:qFormat/>
    <w:rPr>
      <w:sz w:val="16"/>
      <w:szCs w:val="16"/>
      <w:lang w:eastAsia="zh-CN"/>
    </w:rPr>
  </w:style>
  <w:style w:type="character" w:styleId="Ttulo1Char" w:customStyle="1">
    <w:name w:val="Título 1 Char"/>
    <w:qFormat/>
    <w:rPr>
      <w:b/>
      <w:bCs/>
      <w:sz w:val="24"/>
      <w:lang w:eastAsia="zh-CN"/>
    </w:rPr>
  </w:style>
  <w:style w:type="character" w:styleId="Ttulo2Char" w:customStyle="1">
    <w:name w:val="Título 2 Char"/>
    <w:qFormat/>
    <w:rPr>
      <w:b/>
      <w:bCs/>
      <w:sz w:val="24"/>
      <w:u w:val="single"/>
      <w:lang w:eastAsia="zh-CN"/>
    </w:rPr>
  </w:style>
  <w:style w:type="character" w:styleId="Ttulo4Char" w:customStyle="1">
    <w:name w:val="Título 4 Char"/>
    <w:qFormat/>
    <w:rPr>
      <w:sz w:val="24"/>
      <w:lang w:eastAsia="zh-CN"/>
    </w:rPr>
  </w:style>
  <w:style w:type="character" w:styleId="CorpodetextoChar" w:customStyle="1">
    <w:name w:val="Corpo de texto Char"/>
    <w:qFormat/>
    <w:rPr>
      <w:lang w:eastAsia="zh-CN"/>
    </w:rPr>
  </w:style>
  <w:style w:type="character" w:styleId="CabealhoChar1" w:customStyle="1">
    <w:name w:val="Cabeçalho Char1"/>
    <w:qFormat/>
    <w:rPr>
      <w:sz w:val="24"/>
      <w:lang w:eastAsia="zh-CN"/>
    </w:rPr>
  </w:style>
  <w:style w:type="character" w:styleId="RodapChar1" w:customStyle="1">
    <w:name w:val="Rodapé Char1"/>
    <w:qFormat/>
    <w:rPr>
      <w:sz w:val="24"/>
      <w:lang w:eastAsia="zh-CN"/>
    </w:rPr>
  </w:style>
  <w:style w:type="character" w:styleId="TextodebaloChar1" w:customStyle="1">
    <w:name w:val="Texto de balão Char1"/>
    <w:qFormat/>
    <w:rPr>
      <w:rFonts w:ascii="Tahoma" w:hAnsi="Tahoma" w:cs="Tahoma"/>
      <w:sz w:val="16"/>
      <w:szCs w:val="16"/>
      <w:lang w:eastAsia="zh-CN"/>
    </w:rPr>
  </w:style>
  <w:style w:type="character" w:styleId="TextodenotaderodapChar" w:customStyle="1">
    <w:name w:val="Texto de nota de rodapé Char"/>
    <w:qFormat/>
    <w:rPr>
      <w:lang w:eastAsia="zh-CN"/>
    </w:rPr>
  </w:style>
  <w:style w:type="character" w:styleId="TtuloChar1" w:customStyle="1">
    <w:name w:val="Título Char1"/>
    <w:qFormat/>
    <w:rPr>
      <w:rFonts w:ascii="Liberation Sans" w:hAnsi="Liberation Sans" w:eastAsia="Microsoft YaHei" w:cs="Lucida Sans"/>
      <w:color w:val="00000A"/>
      <w:sz w:val="28"/>
      <w:szCs w:val="28"/>
      <w:lang w:eastAsia="zh-CN"/>
    </w:rPr>
  </w:style>
  <w:style w:type="character" w:styleId="FootnoteReference">
    <w:name w:val="Footnote Reference"/>
    <w:rPr>
      <w:vertAlign w:val="superscript"/>
    </w:rPr>
  </w:style>
  <w:style w:type="character" w:styleId="FootnoteCharacters" w:customStyle="1">
    <w:name w:val="Footnote Characters"/>
    <w:basedOn w:val="DefaultParagraphFont"/>
    <w:qFormat/>
    <w:rPr>
      <w:vertAlign w:val="superscript"/>
    </w:rPr>
  </w:style>
  <w:style w:type="character" w:styleId="LineNumber">
    <w:name w:val="Line Number"/>
    <w:rPr/>
  </w:style>
  <w:style w:type="character" w:styleId="WW8Num3z1" w:customStyle="1">
    <w:name w:val="WW8Num3z1"/>
    <w:qFormat/>
    <w:rPr>
      <w:rFonts w:ascii="OpenSymbol;Arial Unicode MS" w:hAnsi="OpenSymbol;Arial Unicode MS" w:cs="Courier New"/>
    </w:rPr>
  </w:style>
  <w:style w:type="character" w:styleId="UnresolvedMention">
    <w:name w:val="Unresolved Mention"/>
    <w:basedOn w:val="DefaultParagraphFont"/>
    <w:uiPriority w:val="99"/>
    <w:semiHidden/>
    <w:unhideWhenUsed/>
    <w:qFormat/>
    <w:rsid w:val="00572e29"/>
    <w:rPr>
      <w:color w:val="605E5C"/>
      <w:shd w:fill="E1DFDD" w:val="clear"/>
    </w:rPr>
  </w:style>
  <w:style w:type="paragraph" w:styleId="Ttulo">
    <w:name w:val="Título"/>
    <w:basedOn w:val="Normal"/>
    <w:next w:val="BodyText"/>
    <w:qFormat/>
    <w:pPr>
      <w:keepNext w:val="true"/>
      <w:spacing w:before="240" w:after="120"/>
    </w:pPr>
    <w:rPr>
      <w:rFonts w:ascii="Liberation Sans" w:hAnsi="Liberation Sans" w:eastAsia="Microsoft YaHei" w:cs="Arial"/>
      <w:sz w:val="28"/>
      <w:szCs w:val="28"/>
    </w:rPr>
  </w:style>
  <w:style w:type="paragraph" w:styleId="BodyText">
    <w:name w:val="Body Text"/>
    <w:basedOn w:val="Normal"/>
    <w:pPr>
      <w:spacing w:before="0" w:after="120"/>
    </w:pPr>
    <w:rPr/>
  </w:style>
  <w:style w:type="paragraph" w:styleId="List">
    <w:name w:val="List"/>
    <w:basedOn w:val="BodyText"/>
    <w:pPr/>
    <w:rPr>
      <w:rFonts w:cs="Lucida Sans"/>
    </w:rPr>
  </w:style>
  <w:style w:type="paragraph" w:styleId="Caption">
    <w:name w:val="Caption"/>
    <w:basedOn w:val="Normal"/>
    <w:qFormat/>
    <w:pPr>
      <w:suppressLineNumbers/>
      <w:spacing w:before="120" w:after="120"/>
    </w:pPr>
    <w:rPr>
      <w:rFonts w:cs="Lucida Sans"/>
      <w:i/>
      <w:iCs/>
      <w:sz w:val="24"/>
      <w:szCs w:val="24"/>
    </w:rPr>
  </w:style>
  <w:style w:type="paragraph" w:styleId="ndice" w:customStyle="1">
    <w:name w:val="Índice"/>
    <w:basedOn w:val="Normal"/>
    <w:qFormat/>
    <w:pPr>
      <w:suppressLineNumbers/>
    </w:pPr>
    <w:rPr>
      <w:rFonts w:cs="Lucida Sans"/>
    </w:rPr>
  </w:style>
  <w:style w:type="paragraph" w:styleId="Title">
    <w:name w:val="Title"/>
    <w:basedOn w:val="Normal"/>
    <w:next w:val="BodyText"/>
    <w:uiPriority w:val="10"/>
    <w:qFormat/>
    <w:pPr>
      <w:keepNext w:val="true"/>
      <w:spacing w:before="240" w:after="120"/>
    </w:pPr>
    <w:rPr>
      <w:rFonts w:ascii="Liberation Sans" w:hAnsi="Liberation Sans" w:eastAsia="Microsoft YaHei" w:cs="Arial"/>
      <w:sz w:val="28"/>
      <w:szCs w:val="28"/>
    </w:rPr>
  </w:style>
  <w:style w:type="paragraph" w:styleId="Ttulo3" w:customStyle="1">
    <w:name w:val="Título3"/>
    <w:basedOn w:val="Normal"/>
    <w:next w:val="BodyText"/>
    <w:qFormat/>
    <w:pPr>
      <w:keepNext w:val="true"/>
      <w:spacing w:before="240" w:after="120"/>
    </w:pPr>
    <w:rPr>
      <w:rFonts w:ascii="Liberation Sans" w:hAnsi="Liberation Sans" w:eastAsia="Microsoft YaHei" w:cs="Lucida Sans"/>
      <w:color w:val="00000A"/>
      <w:sz w:val="28"/>
      <w:szCs w:val="28"/>
    </w:rPr>
  </w:style>
  <w:style w:type="paragraph" w:styleId="Ttulo2" w:customStyle="1">
    <w:name w:val="Título2"/>
    <w:basedOn w:val="Normal"/>
    <w:next w:val="BodyText"/>
    <w:qFormat/>
    <w:pPr>
      <w:keepNext w:val="true"/>
      <w:spacing w:before="240" w:after="120"/>
    </w:pPr>
    <w:rPr>
      <w:rFonts w:ascii="Liberation Sans" w:hAnsi="Liberation Sans" w:eastAsia="Microsoft YaHei" w:cs="Lucida Sans"/>
      <w:sz w:val="28"/>
      <w:szCs w:val="28"/>
    </w:rPr>
  </w:style>
  <w:style w:type="paragraph" w:styleId="Ttulo1" w:customStyle="1">
    <w:name w:val="Título1"/>
    <w:basedOn w:val="Normal"/>
    <w:next w:val="BodyText"/>
    <w:qFormat/>
    <w:pPr>
      <w:keepNext w:val="true"/>
      <w:spacing w:before="240" w:after="120"/>
    </w:pPr>
    <w:rPr>
      <w:rFonts w:ascii="Arial" w:hAnsi="Arial" w:eastAsia="Arial Unicode MS" w:cs="Lucida Sans"/>
      <w:sz w:val="28"/>
      <w:szCs w:val="28"/>
    </w:rPr>
  </w:style>
  <w:style w:type="paragraph" w:styleId="Legenda1" w:customStyle="1">
    <w:name w:val="Legenda1"/>
    <w:basedOn w:val="Normal"/>
    <w:qFormat/>
    <w:pPr>
      <w:suppressLineNumbers/>
      <w:spacing w:before="120" w:after="120"/>
    </w:pPr>
    <w:rPr>
      <w:rFonts w:cs="Lucida Sans"/>
      <w:i/>
      <w:iCs/>
      <w:sz w:val="24"/>
      <w:szCs w:val="24"/>
    </w:rPr>
  </w:style>
  <w:style w:type="paragraph" w:styleId="CabealhoeRodap" w:customStyle="1">
    <w:name w:val="Cabeçalho e Rodapé"/>
    <w:basedOn w:val="Normal"/>
    <w:qFormat/>
    <w:pPr/>
    <w:rPr/>
  </w:style>
  <w:style w:type="paragraph" w:styleId="Cabealhoerodap1">
    <w:name w:val="Cabeçalho e rodapé1"/>
    <w:basedOn w:val="Normal"/>
    <w:qFormat/>
    <w:pPr/>
    <w:rPr/>
  </w:style>
  <w:style w:type="paragraph" w:styleId="Cabealhoerodap2">
    <w:name w:val="Cabeçalho e rodapé2"/>
    <w:basedOn w:val="Normal"/>
    <w:qFormat/>
    <w:pPr/>
    <w:rPr/>
  </w:style>
  <w:style w:type="paragraph" w:styleId="Header">
    <w:name w:val="Header"/>
    <w:basedOn w:val="Normal"/>
    <w:pPr>
      <w:tabs>
        <w:tab w:val="clear" w:pos="720"/>
        <w:tab w:val="center" w:pos="4419" w:leader="none"/>
        <w:tab w:val="right" w:pos="8838" w:leader="none"/>
      </w:tabs>
      <w:overflowPunct w:val="false"/>
      <w:textAlignment w:val="baseline"/>
    </w:pPr>
    <w:rPr>
      <w:sz w:val="24"/>
    </w:rPr>
  </w:style>
  <w:style w:type="paragraph" w:styleId="Footer">
    <w:name w:val="Footer"/>
    <w:basedOn w:val="Normal"/>
    <w:pPr>
      <w:tabs>
        <w:tab w:val="clear" w:pos="720"/>
        <w:tab w:val="center" w:pos="4419" w:leader="none"/>
        <w:tab w:val="right" w:pos="8838" w:leader="none"/>
      </w:tabs>
      <w:overflowPunct w:val="false"/>
      <w:textAlignment w:val="baseline"/>
    </w:pPr>
    <w:rPr>
      <w:sz w:val="24"/>
    </w:rPr>
  </w:style>
  <w:style w:type="paragraph" w:styleId="BalloonText">
    <w:name w:val="Balloon Text"/>
    <w:basedOn w:val="Normal"/>
    <w:qFormat/>
    <w:pPr/>
    <w:rPr>
      <w:rFonts w:ascii="Tahoma" w:hAnsi="Tahoma" w:cs="Tahoma"/>
      <w:sz w:val="16"/>
      <w:szCs w:val="16"/>
    </w:rPr>
  </w:style>
  <w:style w:type="paragraph" w:styleId="FootnoteText">
    <w:name w:val="Footnote Text"/>
    <w:basedOn w:val="Normal"/>
    <w:pPr/>
    <w:rPr/>
  </w:style>
  <w:style w:type="paragraph" w:styleId="ListParagraph">
    <w:name w:val="List Paragraph"/>
    <w:basedOn w:val="Normal"/>
    <w:qFormat/>
    <w:pPr>
      <w:spacing w:lineRule="auto" w:line="276" w:before="0" w:after="200"/>
      <w:ind w:left="720"/>
    </w:pPr>
    <w:rPr>
      <w:rFonts w:ascii="Calibri" w:hAnsi="Calibri" w:eastAsia="Calibri" w:cs="Calibri"/>
      <w:sz w:val="22"/>
      <w:szCs w:val="22"/>
    </w:rPr>
  </w:style>
  <w:style w:type="paragraph" w:styleId="Default" w:customStyle="1">
    <w:name w:val="Default"/>
    <w:qFormat/>
    <w:pPr>
      <w:widowControl/>
      <w:suppressAutoHyphens w:val="true"/>
      <w:bidi w:val="0"/>
      <w:spacing w:before="0" w:after="0"/>
      <w:jc w:val="left"/>
    </w:pPr>
    <w:rPr>
      <w:rFonts w:ascii="Times New Roman" w:hAnsi="Times New Roman" w:eastAsia="Times New Roman" w:cs="Times New Roman"/>
      <w:color w:val="000000"/>
      <w:kern w:val="0"/>
      <w:sz w:val="24"/>
      <w:szCs w:val="24"/>
      <w:lang w:val="pt-BR" w:eastAsia="zh-CN" w:bidi="ar-SA"/>
    </w:rPr>
  </w:style>
  <w:style w:type="paragraph" w:styleId="Corpodetexto31" w:customStyle="1">
    <w:name w:val="Corpo de texto 31"/>
    <w:basedOn w:val="Normal"/>
    <w:qFormat/>
    <w:pPr>
      <w:spacing w:before="0" w:after="120"/>
    </w:pPr>
    <w:rPr>
      <w:sz w:val="16"/>
      <w:szCs w:val="16"/>
    </w:rPr>
  </w:style>
  <w:style w:type="paragraph" w:styleId="Corpodetexto21" w:customStyle="1">
    <w:name w:val="Corpo de texto 21"/>
    <w:basedOn w:val="Normal"/>
    <w:qFormat/>
    <w:pPr>
      <w:spacing w:lineRule="auto" w:line="480" w:before="0" w:after="120"/>
    </w:pPr>
    <w:rPr/>
  </w:style>
  <w:style w:type="paragraph" w:styleId="xl61" w:customStyle="1">
    <w:name w:val="xl61"/>
    <w:basedOn w:val="Default"/>
    <w:next w:val="Default"/>
    <w:qFormat/>
    <w:pPr>
      <w:spacing w:before="280" w:after="280"/>
    </w:pPr>
    <w:rPr>
      <w:rFonts w:ascii="IPMDOI+TimesNewRoman" w:hAnsi="IPMDOI+TimesNewRoman" w:cs="IPMDOI+TimesNewRoman"/>
      <w:color w:val="auto"/>
    </w:rPr>
  </w:style>
  <w:style w:type="paragraph" w:styleId="WW-Padro" w:customStyle="1">
    <w:name w:val="WW-Padrão"/>
    <w:basedOn w:val="Default"/>
    <w:next w:val="Default"/>
    <w:qFormat/>
    <w:pPr/>
    <w:rPr>
      <w:rFonts w:ascii="IPMDOI+TimesNewRoman" w:hAnsi="IPMDOI+TimesNewRoman" w:cs="IPMDOI+TimesNewRoman"/>
      <w:color w:val="auto"/>
    </w:rPr>
  </w:style>
  <w:style w:type="paragraph" w:styleId="Contedodetabela" w:customStyle="1">
    <w:name w:val="Conteúdo de tabela"/>
    <w:basedOn w:val="Normal"/>
    <w:qFormat/>
    <w:pPr>
      <w:suppressLineNumbers/>
    </w:pPr>
    <w:rPr/>
  </w:style>
  <w:style w:type="paragraph" w:styleId="Contedodatabela" w:customStyle="1">
    <w:name w:val="Conteúdo da tabela"/>
    <w:basedOn w:val="Normal"/>
    <w:qFormat/>
    <w:pPr>
      <w:suppressLineNumbers/>
    </w:pPr>
    <w:rPr/>
  </w:style>
  <w:style w:type="paragraph" w:styleId="Ttulodetabela" w:customStyle="1">
    <w:name w:val="Título de tabela"/>
    <w:basedOn w:val="Contedodetabela"/>
    <w:qFormat/>
    <w:pPr>
      <w:jc w:val="center"/>
    </w:pPr>
    <w:rPr>
      <w:b/>
      <w:bCs/>
    </w:rPr>
  </w:style>
  <w:style w:type="paragraph" w:styleId="Recuodecorpodetexto31" w:customStyle="1">
    <w:name w:val="Recuo de corpo de texto 31"/>
    <w:basedOn w:val="Normal"/>
    <w:qFormat/>
    <w:pPr>
      <w:spacing w:before="0" w:after="120"/>
      <w:ind w:left="283"/>
    </w:pPr>
    <w:rPr>
      <w:sz w:val="16"/>
      <w:szCs w:val="16"/>
    </w:rPr>
  </w:style>
  <w:style w:type="paragraph" w:styleId="WW-Textosimples" w:customStyle="1">
    <w:name w:val="WW-Texto simples"/>
    <w:basedOn w:val="Normal"/>
    <w:qFormat/>
    <w:pPr/>
    <w:rPr>
      <w:rFonts w:ascii="Courier New" w:hAnsi="Courier New" w:cs="Courier New"/>
      <w:color w:val="00000A"/>
    </w:rPr>
  </w:style>
  <w:style w:type="paragraph" w:styleId="Normal0" w:customStyle="1">
    <w:name w:val="Normal_0"/>
    <w:qFormat/>
    <w:pPr>
      <w:widowControl/>
      <w:tabs>
        <w:tab w:val="clear" w:pos="720"/>
        <w:tab w:val="left" w:pos="1418" w:leader="none"/>
        <w:tab w:val="left" w:pos="1985" w:leader="none"/>
        <w:tab w:val="left" w:pos="2552" w:leader="none"/>
        <w:tab w:val="left" w:pos="3402" w:leader="none"/>
        <w:tab w:val="left" w:pos="4253" w:leader="none"/>
        <w:tab w:val="left" w:pos="4820" w:leader="none"/>
      </w:tabs>
      <w:suppressAutoHyphens w:val="true"/>
      <w:bidi w:val="0"/>
      <w:spacing w:before="0" w:after="0"/>
      <w:jc w:val="both"/>
    </w:pPr>
    <w:rPr>
      <w:rFonts w:ascii="Times New Roman" w:hAnsi="Times New Roman" w:eastAsia="Times New Roman" w:cs="Times New Roman"/>
      <w:color w:val="auto"/>
      <w:kern w:val="0"/>
      <w:sz w:val="24"/>
      <w:szCs w:val="22"/>
      <w:lang w:val="pt-BR" w:eastAsia="en-US" w:bidi="ar-SA"/>
    </w:rPr>
  </w:style>
  <w:style w:type="paragraph" w:styleId="Indentado0" w:customStyle="1">
    <w:name w:val="Indentado_0"/>
    <w:basedOn w:val="Normal0"/>
    <w:qFormat/>
    <w:pPr>
      <w:tabs>
        <w:tab w:val="left" w:pos="1418" w:leader="none"/>
        <w:tab w:val="left" w:pos="1985" w:leader="none"/>
        <w:tab w:val="left" w:pos="2552" w:leader="none"/>
        <w:tab w:val="left" w:pos="3402" w:leader="none"/>
        <w:tab w:val="left" w:pos="4253" w:leader="none"/>
        <w:tab w:val="left" w:pos="4820" w:leader="none"/>
        <w:tab w:val="right" w:pos="9923" w:leader="none"/>
      </w:tabs>
      <w:ind w:firstLine="851" w:left="567"/>
    </w:pPr>
    <w:rPr/>
  </w:style>
  <w:style w:type="paragraph" w:styleId="Pa4" w:customStyle="1">
    <w:name w:val="Pa4"/>
    <w:basedOn w:val="Default"/>
    <w:next w:val="Default"/>
    <w:qFormat/>
    <w:pPr>
      <w:suppressAutoHyphens w:val="false"/>
      <w:spacing w:lineRule="atLeast" w:line="181"/>
    </w:pPr>
    <w:rPr>
      <w:rFonts w:ascii="Univers 45 Light" w:hAnsi="Univers 45 Light" w:eastAsia="SimSun"/>
      <w:color w:val="auto"/>
      <w:lang w:eastAsia="pt-BR"/>
    </w:rPr>
  </w:style>
  <w:style w:type="paragraph" w:styleId="Pa28" w:customStyle="1">
    <w:name w:val="Pa28"/>
    <w:basedOn w:val="Default"/>
    <w:next w:val="Default"/>
    <w:qFormat/>
    <w:pPr>
      <w:suppressAutoHyphens w:val="false"/>
      <w:spacing w:lineRule="atLeast" w:line="181"/>
    </w:pPr>
    <w:rPr>
      <w:rFonts w:ascii="Univers 45 Light" w:hAnsi="Univers 45 Light" w:eastAsia="SimSun"/>
      <w:color w:val="auto"/>
      <w:lang w:eastAsia="pt-BR"/>
    </w:rPr>
  </w:style>
  <w:style w:type="paragraph" w:styleId="Padro" w:customStyle="1">
    <w:name w:val="Padrão"/>
    <w:qFormat/>
    <w:pPr>
      <w:widowControl/>
      <w:tabs>
        <w:tab w:val="clear" w:pos="720"/>
        <w:tab w:val="left" w:pos="708" w:leader="none"/>
      </w:tabs>
      <w:suppressAutoHyphens w:val="true"/>
      <w:bidi w:val="0"/>
      <w:spacing w:lineRule="auto" w:line="276" w:before="0" w:after="200"/>
      <w:jc w:val="left"/>
    </w:pPr>
    <w:rPr>
      <w:rFonts w:ascii="Times New Roman" w:hAnsi="Times New Roman" w:eastAsia="SimSun;宋体" w:cs="Mangal"/>
      <w:color w:val="auto"/>
      <w:kern w:val="2"/>
      <w:sz w:val="24"/>
      <w:szCs w:val="24"/>
      <w:lang w:val="pt-BR" w:eastAsia="zh-CN" w:bidi="hi-IN"/>
    </w:rPr>
  </w:style>
  <w:style w:type="paragraph" w:styleId="LO-Normal" w:customStyle="1">
    <w:name w:val="LO-Normal"/>
    <w:qFormat/>
    <w:pPr>
      <w:widowControl w:val="false"/>
      <w:suppressAutoHyphens w:val="true"/>
      <w:bidi w:val="0"/>
      <w:spacing w:before="0" w:after="0"/>
      <w:jc w:val="left"/>
    </w:pPr>
    <w:rPr>
      <w:rFonts w:ascii="Liberation Serif;Times New Roma" w:hAnsi="Liberation Serif;Times New Roma" w:eastAsia="SimSun" w:cs="Mangal"/>
      <w:color w:val="auto"/>
      <w:kern w:val="2"/>
      <w:sz w:val="24"/>
      <w:szCs w:val="24"/>
      <w:lang w:val="pt-BR" w:eastAsia="zh-CN" w:bidi="hi-IN"/>
    </w:rPr>
  </w:style>
  <w:style w:type="paragraph" w:styleId="Subtitle">
    <w:name w:val="Subtitle"/>
    <w:basedOn w:val="Normal"/>
    <w:next w:val="Normal"/>
    <w:uiPriority w:val="11"/>
    <w:qFormat/>
    <w:pPr>
      <w:keepNext w:val="true"/>
      <w:keepLines/>
      <w:spacing w:before="360" w:after="80"/>
    </w:pPr>
    <w:rPr>
      <w:rFonts w:ascii="Georgia" w:hAnsi="Georgia" w:eastAsia="Georgia" w:cs="Georgia"/>
      <w:i/>
      <w:color w:val="666666"/>
      <w:sz w:val="48"/>
      <w:szCs w:val="48"/>
    </w:rPr>
  </w:style>
  <w:style w:type="paragraph" w:styleId="Contedodoquadro">
    <w:name w:val="Conteúdo do quadro"/>
    <w:basedOn w:val="Normal"/>
    <w:qFormat/>
    <w:pPr/>
    <w:rPr/>
  </w:style>
  <w:style w:type="numbering" w:styleId="Semlista" w:default="1">
    <w:name w:val="Sem lista"/>
    <w:uiPriority w:val="99"/>
    <w:semiHidden/>
    <w:unhideWhenUsed/>
    <w:qFormat/>
  </w:style>
  <w:style w:type="numbering" w:styleId="WW8Num3" w:customStyle="1">
    <w:name w:val="WW8Num3"/>
    <w:qFormat/>
  </w:style>
  <w:style w:type="table" w:default="1" w:styleId="Tabelanormal">
    <w:name w:val="Normal Table"/>
    <w:uiPriority w:val="99"/>
    <w:semiHidden/>
    <w:unhideWhenUsed/>
    <w:tblPr>
      <w:tblCellMar>
        <w:top w:w="0" w:type="dxa"/>
        <w:left w:w="108" w:type="dxa"/>
        <w:bottom w:w="0" w:type="dxa"/>
        <w:right w:w="108" w:type="dxa"/>
      </w:tblCellMar>
    </w:tblPr>
  </w:style>
  <w:style w:type="table" w:customStyle="1" w:styleId="TableNormal">
    <w:name w:val="TableNormal"/>
    <w:tblPr>
      <w:tblCellMar>
        <w:top w:w="0" w:type="dxa"/>
        <w:left w:w="0" w:type="dxa"/>
        <w:bottom w:w="0" w:type="dxa"/>
        <w:right w:w="0"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yperlink" Target="https://pncp.gov.br/" TargetMode="External"/><Relationship Id="rId3" Type="http://schemas.openxmlformats.org/officeDocument/2006/relationships/header" Target="header1.xml"/><Relationship Id="rId4" Type="http://schemas.openxmlformats.org/officeDocument/2006/relationships/header" Target="header2.xml"/><Relationship Id="rId5" Type="http://schemas.openxmlformats.org/officeDocument/2006/relationships/header" Target="header3.xml"/><Relationship Id="rId6" Type="http://schemas.openxmlformats.org/officeDocument/2006/relationships/footer" Target="footer1.xml"/><Relationship Id="rId7" Type="http://schemas.openxmlformats.org/officeDocument/2006/relationships/footer" Target="footer2.xml"/><Relationship Id="rId8" Type="http://schemas.openxmlformats.org/officeDocument/2006/relationships/footer" Target="footer3.xml"/><Relationship Id="rId9" Type="http://schemas.openxmlformats.org/officeDocument/2006/relationships/fontTable" Target="fontTable.xml"/><Relationship Id="rId10" Type="http://schemas.openxmlformats.org/officeDocument/2006/relationships/settings" Target="settings.xml"/><Relationship Id="rId11" Type="http://schemas.openxmlformats.org/officeDocument/2006/relationships/theme" Target="theme/theme1.xml"/><Relationship Id="rId12" Type="http://schemas.openxmlformats.org/officeDocument/2006/relationships/customXml" Target="../customXml/item1.xml"/>
</Relationships>
</file>

<file path=word/_rels/fontTable.xml.rels><?xml version="1.0" encoding="UTF-8"?>
<Relationships xmlns="http://schemas.openxmlformats.org/package/2006/relationships"><Relationship Id="rId1" Type="http://schemas.openxmlformats.org/officeDocument/2006/relationships/font" Target="fonts/font1.odttf"/><Relationship Id="rId2" Type="http://schemas.openxmlformats.org/officeDocument/2006/relationships/font" Target="fonts/font2.odttf"/><Relationship Id="rId3" Type="http://schemas.openxmlformats.org/officeDocument/2006/relationships/font" Target="fonts/font3.odttf"/><Relationship Id="rId4" Type="http://schemas.openxmlformats.org/officeDocument/2006/relationships/font" Target="fonts/font4.odttf"/><Relationship Id="rId5" Type="http://schemas.openxmlformats.org/officeDocument/2006/relationships/font" Target="fonts/font5.odttf"/><Relationship Id="rId6" Type="http://schemas.openxmlformats.org/officeDocument/2006/relationships/font" Target="fonts/font6.odttf"/><Relationship Id="rId7" Type="http://schemas.openxmlformats.org/officeDocument/2006/relationships/font" Target="fonts/font7.odttf"/><Relationship Id="rId8" Type="http://schemas.openxmlformats.org/officeDocument/2006/relationships/font" Target="fonts/font8.odttf"/><Relationship Id="rId9" Type="http://schemas.openxmlformats.org/officeDocument/2006/relationships/font" Target="fonts/font9.odttf"/><Relationship Id="rId10" Type="http://schemas.openxmlformats.org/officeDocument/2006/relationships/font" Target="fonts/font10.odttf"/><Relationship Id="rId11" Type="http://schemas.openxmlformats.org/officeDocument/2006/relationships/font" Target="fonts/font11.odttf"/><Relationship Id="rId12" Type="http://schemas.openxmlformats.org/officeDocument/2006/relationships/font" Target="fonts/font12.odttf"/><Relationship Id="rId13" Type="http://schemas.openxmlformats.org/officeDocument/2006/relationships/font" Target="fonts/font13.odttf"/><Relationship Id="rId14" Type="http://schemas.openxmlformats.org/officeDocument/2006/relationships/font" Target="fonts/font14.odttf"/><Relationship Id="rId15" Type="http://schemas.openxmlformats.org/officeDocument/2006/relationships/font" Target="fonts/font15.odttf"/><Relationship Id="rId16" Type="http://schemas.openxmlformats.org/officeDocument/2006/relationships/font" Target="fonts/font16.odttf"/><Relationship Id="rId17" Type="http://schemas.openxmlformats.org/officeDocument/2006/relationships/font" Target="fonts/font17.odttf"/><Relationship Id="rId18" Type="http://schemas.openxmlformats.org/officeDocument/2006/relationships/font" Target="fonts/font18.odttf"/><Relationship Id="rId19" Type="http://schemas.openxmlformats.org/officeDocument/2006/relationships/font" Target="fonts/font19.odttf"/><Relationship Id="rId20" Type="http://schemas.openxmlformats.org/officeDocument/2006/relationships/font" Target="fonts/font20.odttf"/><Relationship Id="rId21" Type="http://schemas.openxmlformats.org/officeDocument/2006/relationships/font" Target="fonts/font21.odttf"/><Relationship Id="rId22" Type="http://schemas.openxmlformats.org/officeDocument/2006/relationships/font" Target="fonts/font22.odttf"/><Relationship Id="rId23" Type="http://schemas.openxmlformats.org/officeDocument/2006/relationships/font" Target="fonts/font23.odttf"/><Relationship Id="rId24" Type="http://schemas.openxmlformats.org/officeDocument/2006/relationships/font" Target="fonts/font24.odttf"/><Relationship Id="rId25" Type="http://schemas.openxmlformats.org/officeDocument/2006/relationships/font" Target="fonts/font25.odttf"/>
</Relationships>
</file>

<file path=word/_rels/footer2.xml.rels><?xml version="1.0" encoding="UTF-8"?>
<Relationships xmlns="http://schemas.openxmlformats.org/package/2006/relationships"><Relationship Id="rId1" Type="http://schemas.openxmlformats.org/officeDocument/2006/relationships/hyperlink" Target="mailto:financeirosemecsgp@gmail.com" TargetMode="External"/>
</Relationships>
</file>

<file path=word/_rels/footer3.xml.rels><?xml version="1.0" encoding="UTF-8"?>
<Relationships xmlns="http://schemas.openxmlformats.org/package/2006/relationships"><Relationship Id="rId1" Type="http://schemas.openxmlformats.org/officeDocument/2006/relationships/hyperlink" Target="mailto:financeirosemecsgp@gmail.com" TargetMode="External"/>
</Relationships>
</file>

<file path=word/_rels/header2.xml.rels><?xml version="1.0" encoding="UTF-8"?>
<Relationships xmlns="http://schemas.openxmlformats.org/package/2006/relationships"><Relationship Id="rId1" Type="http://schemas.openxmlformats.org/officeDocument/2006/relationships/image" Target="media/image1.jpeg"/>
</Relationships>
</file>

<file path=word/_rels/header3.xml.rels><?xml version="1.0" encoding="UTF-8"?>
<Relationships xmlns="http://schemas.openxmlformats.org/package/2006/relationships"><Relationship Id="rId1" Type="http://schemas.openxmlformats.org/officeDocument/2006/relationships/image" Target="media/image1.jpeg"/>
</Relationships>
</file>

<file path=word/theme/theme1.xml><?xml version="1.0" encoding="utf-8"?>
<a:theme xmlns:a="http://schemas.openxmlformats.org/drawingml/2006/main" xmlns:r="http://schemas.openxmlformats.org/officeDocument/2006/relationships"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pitchFamily="0" charset="1"/>
        <a:ea typeface=""/>
        <a:cs typeface=""/>
      </a:majorFont>
      <a:minorFont>
        <a:latin typeface="Cambria" pitchFamily="0" charset="1"/>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l="0" t="0" r="0" b="0"/>
        </a:gradFill>
        <a:gradFill>
          <a:gsLst>
            <a:gs pos="0">
              <a:schemeClr val="phClr">
                <a:tint val="100000"/>
                <a:shade val="100000"/>
              </a:schemeClr>
            </a:gs>
            <a:gs pos="100000">
              <a:schemeClr val="phClr">
                <a:tint val="50000"/>
                <a:shade val="100000"/>
              </a:schemeClr>
            </a:gs>
          </a:gsLst>
          <a:lin ang="16200000" scaled="0"/>
          <a:tileRect l="0" t="0" r="0" b="0"/>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l="0" t="0" r="0" b="0"/>
        </a:gradFill>
        <a:gradFill>
          <a:gsLst>
            <a:gs pos="0">
              <a:schemeClr val="phClr">
                <a:tint val="80000"/>
              </a:schemeClr>
            </a:gs>
            <a:gs pos="100000">
              <a:schemeClr val="phClr">
                <a:shade val="30000"/>
              </a:schemeClr>
            </a:gs>
          </a:gsLst>
          <a:path path="circle">
            <a:fillToRect l="50000" t="50000" r="50000" b="50000"/>
          </a:path>
          <a:tileRect l="0" t="0" r="0" b="0"/>
        </a:gradFill>
      </a:bgFillStyleLst>
    </a:fmtScheme>
  </a:themeElements>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go:gDocsCustomXmlDataStorage xmlns:go="http://customooxmlschemas.google.com/" xmlns:r="http://schemas.openxmlformats.org/officeDocument/2006/relationships" uri="GoogleDocsCustomDataVersion2">
  <go:docsCustomData roundtripDataSignature="AMtx7mhJ6TvOf0v9w0dA9oQsnM3iB6ec+w==">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420</TotalTime>
  <Application>LibreOffice/24.2.7.2$Windows_X86_64 LibreOffice_project/ee3885777aa7032db5a9b65deec9457448a91162</Application>
  <AppVersion>15.0000</AppVersion>
  <Pages>8</Pages>
  <Words>4348</Words>
  <Characters>25083</Characters>
  <CharactersWithSpaces>29165</CharactersWithSpaces>
  <Paragraphs>302</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2019-06-04T16:18:00Z</dcterms:created>
  <dc:creator>PMSGP</dc:creator>
  <dc:description/>
  <dc:language>pt-BR</dc:language>
  <cp:lastModifiedBy/>
  <cp:lastPrinted>2026-08-13T13:24:26Z</cp:lastPrinted>
  <dcterms:modified xsi:type="dcterms:W3CDTF">2026-08-13T13:29:00Z</dcterms:modified>
  <cp:revision>116</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yperlinksChanged">
    <vt:bool>0</vt:bool>
  </property>
  <property fmtid="{D5CDD505-2E9C-101B-9397-08002B2CF9AE}" pid="3" name="LinksUpToDate">
    <vt:bool>0</vt:bool>
  </property>
  <property fmtid="{D5CDD505-2E9C-101B-9397-08002B2CF9AE}" pid="4" name="ScaleCrop">
    <vt:bool>0</vt:bool>
  </property>
  <property fmtid="{D5CDD505-2E9C-101B-9397-08002B2CF9AE}" pid="5" name="ShareDoc">
    <vt:bool>0</vt:bool>
  </property>
</Properties>
</file>